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BUDGET &amp; FINANCIAL PLANNING  ·  MULTI-ENTITY FP&amp;A  ·  SCENARIO MODELING  ·  CAPITAL STRATEGY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Strategic finance executive specializing in budgeting, financial planning, and scenario modeling for complex, multi-entity organizations. Leads FP&amp;A, budgeting, treasury, liquidity, and cash-flow forecasting for client organizations across nonprofit, education, private, and public-sector settings, and supports capital allocation through scenario modeling and funding strategy. Served as financial architect for a $200M national banking-development initiative and reversed a $1M operating deficit into a 13% surplus. Pairs analytical depth (SQL, Looker, KPI dashboards) with clear communication to senior leadership and Boards.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University-Wide Budget Strategy Support  •  Financial Planning &amp; Analysis  •  Multi-Year Scenario Modeling  •  Capital Allocation  •  Multi-Entity Budgeting  •  Liquidity &amp; Cash Forecasting  •  KPI Dashboards &amp; Analytics (SQL, Looker)  •  Executive &amp; Board Communication  •  Education Sector  •  Budget Process Design  •  Team Leadership  •  Change Management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Provide hands-on leadership in multi-entity finance, public funding, capital strategy, and audit remediation.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Build KPI dashboards, forecasts, and outcome measures that leaders use to make decisions.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education, entrepreneurship, and financial-literacy program strategies, including monetization approaches.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