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STRATEGIC FINANCE  ·  REVENUE MIX &amp; RESERVES  ·  BOARD PARTNERSHIP  ·  PARKS &amp; PUBLIC SPACE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Hands-on finance executive for mission-driven organizations with mixed public, philanthropic, and earned revenue. Shapes long-term financial strategy, including revenue mix, reserves, and investment and funding strategy, through scenario modeling; leads budgeting, cash flow, audit readiness, and internal controls; and works closely with Presidents and Boards of Trustees. Built earned-revenue social enterprises, structured $10M+ in government and institutional contracts, and reversed a $1M deficit into a 13% surplus. Experienced running finance with a lean team while modernizing systems and reporting.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Long-Term Financial Strategy  •  Revenue Mix &amp; Earned Revenue  •  Reserves &amp; Investment Strategy  •  Board of Trustees Partnership  •  Budgeting &amp; Cash Flow  •  Audit &amp; Internal Controls  •  Public-Private Partnerships  •  Government Contracts  •  Lean Team Leadership  •  Scenario Modeling  •  Financial Systems  •  Parks, Recreation &amp; Public Space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Structured the financial framework for a NYPA Clean Energy Workforce Program, aligning public funding, compliance, and performance metrics.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