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NONPROFIT FINANCE  ·  CDFI &amp; CREDIT UNION MARKETS  ·  BUDGET &amp; MULTI-YEAR PLANNING  ·  CONTROLS &amp; AUDIT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executive combining nonprofit financial leadership with deep roots in community finance. Leads annual budgets, multi-year financial planning, revenue and expense forecasting with variance reporting, cash management, and internal controls; directs audit readiness and fund accounting under GAAP and Uniform Guidance; and supports capital allocation and investment decisions through scenario modeling. Earlier career in credit-union, small-business finance, and wealth-management markets, structuring debt and equity options for SMEs with $1M–$50M in revenue; previously held FINRA Series 7 and 63 licenses. Reversed a $1M operating deficit into a 13% surplus at a $50M+ nonprofit and modernizes financial systems and reporting.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Annual Budget &amp; Multi-Year Planning  •  Forecasting &amp; Variance Reporting  •  Controller &amp; Finance Team Oversight  •  Cash Management &amp; Internal Controls  •  Portfolio &amp; Investment Analytics  •  Audit &amp; Form 990 Oversight  •  Financial Systems &amp; Reporting Improvement  •  CDFI &amp; Credit Union Markets  •  Small-Business &amp; Community Lending  •  Nonprofit Financial Management  •  Board Reporting  •  Former FINRA Series 7 / 63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EARLIER FINANCIAL SERVICES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PFP FINANCIAL · AMERICAN EXPRESS (CONSULTING) · FIRST PROVIDENCE FINANCIAL GROUP  |  Sales Management Consultant; Senior Small Business Analyst; Financial Services Representative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/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debt and equity financing options and advised SMEs ($1M–$50M revenue) on lines of credit, debt consolidation, private placements, and acquisitions.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Produced $23M in benefits coverage and reached 2,100+ credit-union members through consultative sales and member acquisition.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