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OPERATING LEADERSHIP  ·  HR, PAYROLL &amp; BENEFITS  ·  FINANCE &amp; BOARD REPORTING  ·  FACILITIES &amp; COMPLIANCE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Chief operating executive for mission-driven, direct-service organizations, combining people operations, finance, compliance, and facilities leadership. Led a 140-person, multi-program social-services division, overseeing hiring, payroll, performance management, and compensation, and reversed a $1M operating deficit into a 13% surplus through budget discipline and controls. Built HR, payroll, benefits, and training infrastructure for a 50+ person, multi-location organization; manages outsourced accounting, IT, and vendor relationships; and serves as a finance liaison to CEOs, Boards, and Finance Committees. Leads KPI tracking, risk management, and change management, with a career-long commitment to economic and social justice in New York City.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HR Leadership, Payroll &amp; Benefits  •  Talent Acquisition &amp; Performance Management  •  Compensation &amp; Workforce Planning  •  Budget Monitoring with Outsourced Accounting  •  Board Finance Committee Liaison  •  Accounts Payable Oversight  •  Employment-Law Compliance &amp; Risk  •  Insurance &amp; Risk Management  •  Outsourced IT &amp; Data Security Oversight  •  Facilities, Landlord &amp; Site Safety  •  Strategic Planning &amp; KPIs  •  Change Management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Build KPI dashboards, forecasts, and outcome measures that leaders use to make decisions.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Coached and developed managers and staff, building training and talent-development practices across the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Streamlined operations and eliminated redundancies across personnel, facilities, systems, and sales.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