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C1C1C"/>
          <w:sz w:val="48"/>
        </w:rPr>
        <w:t xml:space="preserve">CLAVEL M. LAZARRE</w:t>
      </w:r>
      <w:r>
        <w:rPr>
          <w:rFonts w:ascii="Calibri" w:hAnsi="Calibri"/>
          <w:b w:val="0"/>
          <w:i w:val="0"/>
          <w:color w:val="C09628"/>
          <w:sz w:val="26"/>
        </w:rPr>
        <w:t xml:space="preserve">,  MBA</w:t>
      </w:r>
    </w:p>
    <w:p>
      <w:pPr>
        <w:spacing w:before="20" w:after="40"/>
        <w:jc w:val="center"/>
      </w:pPr>
      <w:r>
        <w:rPr>
          <w:rFonts w:ascii="Calibri" w:hAnsi="Calibri"/>
          <w:b w:val="0"/>
          <w:i w:val="0"/>
          <w:color w:val="C09628"/>
          <w:sz w:val="17"/>
        </w:rPr>
        <w:t xml:space="preserve">CHIEF OPERATING LEADERSHIP  ·  FINANCE, IT &amp; OPERATIONS  ·  SCALING INFRASTRUCTURE  ·  BEHAVIORAL HEALTH &amp; HUMAN SERVICES</w:t>
      </w:r>
    </w:p>
    <w:p>
      <w:pPr>
        <w:spacing w:before="20"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 xml:space="preserve">Brooklyn, NY  |  347-607-8164  |  lazarreclavel3@gmail.com</w:t>
      </w:r>
    </w:p>
    <w:p>
      <w:pPr>
        <w:spacing w:before="0" w:after="120"/>
        <w:pBdr>
          <w:bottom w:val="single" w:sz="8" w:space="1" w:color="C09628"/>
        </w:pBdr>
      </w:pP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EXECUTIVE PROFILE</w:t>
      </w:r>
    </w:p>
    <w:p>
      <w:pPr>
        <w:spacing w:before="40" w:after="80" w:lineRule="exact" w:line="250"/>
      </w:pPr>
      <w:r>
        <w:rPr>
          <w:rFonts w:ascii="Calibri" w:hAnsi="Calibri"/>
          <w:b w:val="0"/>
          <w:i w:val="0"/>
          <w:color w:val="3A3A3A"/>
          <w:sz w:val="19"/>
        </w:rPr>
        <w:t xml:space="preserve">Operations and finance executive who builds the systems, infrastructure, and discipline that fast-growing human-services organizations need. Led finance and operations for a 140-person, multi-program social-services division within a $50M+ nonprofit, reversing a $1M operating deficit into a 13% surplus; directed billing, controls, and compliance for NYC Department of Homeless Services and NYCHA contracts. Leads budgeting, multi-year projections, audit readiness, and Board Finance and Audit Committee reporting; implements ERP, CRM, and dashboard systems (60% processing-efficiency gain); and designs staffing plans, accountability structures, and cross-department collaboration. A hands-on builder who coaches managers and stays close to the work.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SELECTED FINANCIAL IMPACT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$1M → 13%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$1.5M+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$10M+</w:t>
            </w:r>
          </w:p>
        </w:tc>
        <w:tc>
          <w:tcPr>
            <w:tcW w:type="dxa" w:w="2592"/>
            <w:shd w:val="clear" w:color="auto" w:fill="C09628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 xml:space="preserve">$200M</w:t>
            </w:r>
          </w:p>
        </w:tc>
      </w:tr>
      <w:tr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Deficit reversed to surplus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Tax savings recovered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New contracts structured</w:t>
            </w:r>
          </w:p>
        </w:tc>
        <w:tc>
          <w:tcPr>
            <w:tcW w:type="dxa" w:w="2592"/>
            <w:shd w:val="clear" w:color="auto" w:fill="1C1C1C"/>
            <w:vAlign w:val="center"/>
          </w:tcPr>
          <w:p>
            <w:pPr>
              <w:spacing w:before="60" w:after="10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15"/>
              </w:rPr>
              <w:t xml:space="preserve">Banking initiative structured</w:t>
            </w:r>
          </w:p>
        </w:tc>
      </w:tr>
    </w:tbl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CORE LEADERSHIP CAPABILITIES</w:t>
      </w:r>
    </w:p>
    <w:p>
      <w:pPr>
        <w:spacing w:before="40" w:after="80" w:lineRule="exact" w:line="240"/>
        <w:jc w:val="center"/>
      </w:pPr>
      <w:r>
        <w:rPr>
          <w:rFonts w:ascii="Calibri" w:hAnsi="Calibri"/>
          <w:b w:val="0"/>
          <w:i w:val="0"/>
          <w:color w:val="3A3A3A"/>
          <w:sz w:val="17"/>
        </w:rPr>
        <w:t xml:space="preserve">Enterprise Operations Leadership  •  Finance, Accounting &amp; Audit Readiness  •  IT &amp; Outsourced Technology Oversight  •  Facilities &amp; Administrative Operations  •  Risk Management &amp; Compliance  •  Budgeting &amp; Multi-Year Projections  •  Performance Measures &amp; Dashboards  •  Multi-Year Staffing Plans  •  Board Finance &amp; Audit Committee Liaison  •  Change Management  •  Team Coaching &amp; Inclusive Culture  •  Behavioral Health &amp; Homelessness Services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PROFESSIONAL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MAROON STRATEGIST LLC  |  Chief Financial Officer (Advisory)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2025–Present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Lead financial planning, budgeting, treasury, liquidity management, and cash-flow forecasting for client organizations across nonprofit, private, education, and public-sector settings.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 audit readiness and external audit processes; ensure GAAP and Uniform Guidance compliance; design internal controls and fund-accounting frameworks.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Build KPI dashboards, forecasts, and outcome measures that leaders use to make decisions.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Execute financial turnarounds, forensic accounting, historical clean-up, and audit remediation for organizations with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Identified and recovered $1.5M+ in tax savings through detailed financial analysis and correction of reporting deficiencies.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Spearhead liquidity and working-capital strategy, including covenant monitoring, short-term financing analysis, and stress testing; support capital allocation through scenario modeling.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THE OSBORNE ASSOCIATION  |  Vice President, Business Development &amp; Social Ventures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Jan 2023–May 2025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Held full P&amp;L accountability for an $8M portfolio within a $50M+ nonprofit; led financial and operational oversight of a 140-person, multi-program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Reversed a $1M annual operating deficit and delivered a 13% operating surplus through cost restructuring, financial controls, and revenue optimization.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Partnered with the CEO and Board on long-range planning, risk management, and organizational growth strategy.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Coached and developed managers and staff, building training and talent-development practices across the division.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Negotiated and structured $10M+ in new government, institutional, and corporate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revenue-generating social ventures that combined financial sustainability with mission outcomes.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ADDITIONAL EXECUTIVE EXPERIENCE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ALLUEL LOGISTICS  |  Vice President of Operations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2021–Aug 2022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Directed financial controls, billing, and compliance for NYCHA and NYC Department of Homeless Services contracts.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Implemented a redesigned ERP-based warehouse management system, improving processing efficiency 60% and data visibility.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Selected, implemented, and trained teams on CRM and business systems, including Salesforce, Zoho, Looker, SQL, and ERP platforms.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Streamlined operations and eliminated redundancies across personnel, facilities, systems, and sales.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Renegotiated vendor and logistics agreements, reducing costs 35% and improving margins.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MONARK CONSULTING GROUP  |  Fractional CFO and Chief Operating Consultant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Aug 2016–Nov 2021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Served as financial architect for a $200M national banking-development initiative, supporting capital planning and financial structuring.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Developed operational and performance-improvement strategies for $50M+ organizations and major brands.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accounting, governance, and operational infrastructure for an international NGO serving children in Haiti.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keepNext/>
              <w:spacing w:before="100" w:after="20"/>
            </w:pPr>
            <w:r>
              <w:rPr>
                <w:rFonts w:ascii="Calibri" w:hAnsi="Calibri"/>
                <w:b/>
                <w:i w:val="0"/>
                <w:color w:val="1C1C1C"/>
                <w:sz w:val="19"/>
              </w:rPr>
              <w:t xml:space="preserve">FITNESS COLLECTIVE INC  |  Co-Founder and Chief Operating Officer</w:t>
            </w:r>
          </w:p>
        </w:tc>
        <w:tc>
          <w:tcPr>
            <w:tcW w:type="dxa" w:w="5184"/>
          </w:tcPr>
          <w:p>
            <w:pPr>
              <w:keepNext/>
              <w:spacing w:before="100" w:after="20"/>
              <w:jc w:val="right"/>
            </w:pPr>
            <w:r>
              <w:rPr>
                <w:rFonts w:ascii="Calibri" w:hAnsi="Calibri"/>
                <w:b w:val="0"/>
                <w:i w:val="0"/>
                <w:color w:val="C09628"/>
                <w:sz w:val="18"/>
              </w:rPr>
              <w:t xml:space="preserve">Nov 2004–Feb 2016</w:t>
            </w:r>
          </w:p>
        </w:tc>
      </w:tr>
    </w:tbl>
    <w:p>
      <w:pPr>
        <w:keepNext/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 xml:space="preserve">New York, NY and Washington, DC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Founded and scaled a multi-location business from a $5K investment to a $1M enterprise; delivered 33% YoY revenue growth and an 11% margin improvement.</w:t>
      </w:r>
    </w:p>
    <w:p>
      <w:pPr>
        <w:spacing w:before="20" w:after="20" w:lineRule="exact" w:line="230"/>
        <w:ind w:left="187" w:hanging="187"/>
      </w:pPr>
      <w:r>
        <w:rPr>
          <w:rFonts w:ascii="Calibri" w:hAnsi="Calibri"/>
          <w:b w:val="0"/>
          <w:i w:val="0"/>
          <w:color w:val="C09628"/>
          <w:sz w:val="18"/>
        </w:rPr>
        <w:t xml:space="preserve">• </w:t>
      </w:r>
      <w:r>
        <w:rPr>
          <w:rFonts w:ascii="Calibri" w:hAnsi="Calibri"/>
          <w:b w:val="0"/>
          <w:i w:val="0"/>
          <w:color w:val="3A3A3A"/>
          <w:sz w:val="18"/>
        </w:rPr>
        <w:t xml:space="preserve">Built HR, payroll, benefits, and training infrastructure for a 50+ person team.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EDUCATION AND CREDENTIALS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Master of Business Administration in General Business Management  |  West Texas A&amp;M University  |  2021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Bachelor of Science in Small Business Administration  |  Northern Arizona University  |  2019</w:t>
      </w:r>
    </w:p>
    <w:p>
      <w:pPr>
        <w:spacing w:before="20" w:after="20" w:lineRule="exact" w:line="240"/>
      </w:pPr>
      <w:r>
        <w:rPr>
          <w:rFonts w:ascii="Calibri" w:hAnsi="Calibri"/>
          <w:b w:val="0"/>
          <w:i w:val="0"/>
          <w:color w:val="3A3A3A"/>
          <w:sz w:val="18"/>
        </w:rPr>
        <w:t xml:space="preserve">Previously held FINRA Series 7 and Series 63 and Life, Accident and Health Insurance licenses</w:t>
      </w:r>
    </w:p>
    <w:p>
      <w:pPr>
        <w:keepNext/>
        <w:spacing w:before="120" w:after="40"/>
        <w:pBdr>
          <w:bottom w:val="single" w:sz="8" w:space="1" w:color="C09628"/>
        </w:pBdr>
      </w:pPr>
    </w:p>
    <w:p>
      <w:pPr>
        <w:keepNext/>
        <w:spacing w:before="0" w:after="60"/>
        <w:ind w:left="0"/>
      </w:pPr>
      <w:r>
        <w:rPr>
          <w:rFonts w:ascii="Calibri" w:hAnsi="Calibri"/>
          <w:b/>
          <w:i w:val="0"/>
          <w:color w:val="C09628"/>
          <w:sz w:val="19"/>
        </w:rPr>
        <w:t xml:space="preserve">TECHNOLOGY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3A3A3A"/>
          <w:sz w:val="18"/>
        </w:rPr>
        <w:t xml:space="preserve">Salesforce  •  Zoho CRM  •  Looker  •  SQL  •  ERP and workflow systems  •  Microsoft Excel and PowerPoint  •  KPI dashboards and financial reporting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