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CHIEF FINANCE &amp; OPERATIONS  ·  FEDERAL GRANTS &amp; RESTRICTED FUNDS  ·  FACILITY FINANCE  ·  EDUCATION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and operations executive experienced in restricted funds, public grants, and capital structuring for mission-driven organizations. Leads multi-year financial strategy, budgeting, forecasting, reserves, internal controls, and audits; directs Uniform Guidance compliance and fund accounting for government-funded programs; and oversees affiliated-entity finance. Structured capital and financing for a $200M national banking-development initiative and SME debt, equity, and private-placement deals earlier in a financial-services career, giving a strong base for facility financing and lender partnerships. Leads finance, grants, and operations teams; reversed a $1M operating deficit into a 13% surplus at a $50M+ nonprofit; and has designed education and financial-literacy program strategies.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Multi-Year Financial Strategy &amp; Reserves  •  Budgeting, Forecasting &amp; Internal Controls  •  Federal Grants &amp; Subgrant Compliance  •  Restricted Funds &amp; Nonprofit GAAP  •  Affiliated-Entity Oversight  •  Facility Financing &amp; Lender Partnerships  •  Risk, Contracting &amp; Technology  •  Process Improvement  •  Finance, Grants &amp; Operations Team Leadership  •  Workforce &amp; Compensation Planning  •  Education Sector  •  Executive Team Partnership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Provide hands-on leadership in multi-entity finance, public funding, capital strategy, and audit remediation.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education, entrepreneurship, and financial-literacy program strategies, including monetization approaches.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EARLIER FINANCIAL SERVICES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PFP FINANCIAL · AMERICAN EXPRESS (CONSULTING) · FIRST PROVIDENCE FINANCIAL GROUP  |  Sales Management Consultant; Senior Small Business Analyst; Financial Services Representative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/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debt and equity financing options and advised SMEs ($1M–$50M revenue) on lines of credit, debt consolidation, private placements, and acquisitions.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