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
        <w:jc w:val="center"/>
      </w:pPr>
      <w:r>
        <w:rPr>
          <w:rFonts w:ascii="Calibri" w:hAnsi="Calibri"/>
          <w:b/>
          <w:i w:val="0"/>
          <w:color w:val="1C1C1C"/>
          <w:sz w:val="46"/>
        </w:rPr>
        <w:t xml:space="preserve">CLAVEL LAZARRE</w:t>
      </w:r>
      <w:r>
        <w:rPr>
          <w:rFonts w:ascii="Calibri" w:hAnsi="Calibri"/>
          <w:b w:val="0"/>
          <w:i w:val="0"/>
          <w:color w:val="C09628"/>
          <w:sz w:val="26"/>
        </w:rPr>
        <w:t xml:space="preserve">,  MBA</w:t>
      </w:r>
    </w:p>
    <w:p>
      <w:pPr>
        <w:spacing w:before="0" w:after="30"/>
        <w:jc w:val="center"/>
      </w:pPr>
      <w:r>
        <w:rPr>
          <w:rFonts w:ascii="Calibri" w:hAnsi="Calibri"/>
          <w:b/>
          <w:i w:val="0"/>
          <w:color w:val="C09628"/>
          <w:sz w:val="17"/>
        </w:rPr>
        <w:t xml:space="preserve">EXECUTIVE LEADERSHIP  ·  ORGANIZATIONAL GROWTH  ·  STRATEGY &amp; OPERATIONS</w:t>
      </w:r>
    </w:p>
    <w:p>
      <w:pPr>
        <w:spacing w:before="0" w:after="60"/>
        <w:jc w:val="center"/>
      </w:pPr>
      <w:r>
        <w:rPr>
          <w:rFonts w:ascii="Calibri" w:hAnsi="Calibri"/>
          <w:b w:val="0"/>
          <w:i w:val="0"/>
          <w:color w:val="555555"/>
          <w:sz w:val="17"/>
        </w:rPr>
        <w:t xml:space="preserve">New York, NY  |  347-607-8164  |  lazarreclavel3@gmail.com  |  linkedin.com/in/clavel-lazarre</w:t>
      </w:r>
    </w:p>
    <w:p>
      <w:pPr>
        <w:spacing w:before="0" w:after="60"/>
        <w:pBdr>
          <w:bottom w:val="single" w:sz="8" w:space="1" w:color="C09628"/>
        </w:pBdr>
      </w:pP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EXECUTIVE PROFILE</w:t>
      </w:r>
    </w:p>
    <w:p>
      <w:pPr>
        <w:spacing w:before="20" w:after="50" w:lineRule="exact" w:line="236"/>
        <w:jc w:val="both"/>
      </w:pPr>
      <w:r>
        <w:rPr>
          <w:rFonts w:ascii="Calibri" w:hAnsi="Calibri"/>
          <w:b w:val="0"/>
          <w:i w:val="0"/>
          <w:color w:val="3A3A3A"/>
          <w:sz w:val="18"/>
        </w:rPr>
        <w:t xml:space="preserve">Operations and finance executive with more than 20 years of experience building businesses, leading mission-driven programs, and creating the systems organizations need to grow. Held full P&amp;L accountability for an $80M portfolio and financial and operational oversight of a 140-person division. Co-founded a fitness business that reached $1M in annual revenue within 24 months, then expanded through a franchise model to $10M in annual sales, with HR, payroll, and benefits infrastructure supporting 50+ employees.</w:t>
      </w:r>
    </w:p>
    <w:p>
      <w:pPr>
        <w:spacing w:before="0" w:after="60" w:lineRule="exact" w:line="236"/>
        <w:jc w:val="both"/>
      </w:pPr>
      <w:r>
        <w:rPr>
          <w:rFonts w:ascii="Calibri" w:hAnsi="Calibri"/>
          <w:b w:val="0"/>
          <w:i w:val="0"/>
          <w:color w:val="3A3A3A"/>
          <w:sz w:val="18"/>
        </w:rPr>
        <w:t xml:space="preserve">Brings a founder’s understanding of growth and an operator’s discipline in execution. Partners with CEOs, boards, public agencies, and community organizations to evaluate opportunities, align resources, and translate strategy into budgets, partnerships, programs, and operating processes. Experience spans workforce development, social enterprise, financial advisory, logistics, and practical AI implementation.</w:t>
      </w: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92"/>
        <w:gridCol w:w="2592"/>
        <w:gridCol w:w="2592"/>
        <w:gridCol w:w="2592"/>
      </w:tblGrid>
      <w:tr>
        <w:tc>
          <w:tcPr>
            <w:tcW w:type="dxa" w:w="2592"/>
            <w:shd w:val="clear" w:color="auto" w:fill="C09628"/>
            <w:vAlign w:val="center"/>
          </w:tcPr>
          <w:p>
            <w:pPr>
              <w:spacing w:before="80" w:after="30"/>
              <w:jc w:val="center"/>
            </w:pPr>
            <w:r>
              <w:rPr>
                <w:rFonts w:ascii="Calibri" w:hAnsi="Calibri"/>
                <w:b/>
                <w:i w:val="0"/>
                <w:color w:val="FFFFFF"/>
                <w:sz w:val="30"/>
              </w:rPr>
              <w:t xml:space="preserve">$80M</w:t>
            </w:r>
          </w:p>
        </w:tc>
        <w:tc>
          <w:tcPr>
            <w:tcW w:type="dxa" w:w="2592"/>
            <w:shd w:val="clear" w:color="auto" w:fill="C09628"/>
            <w:vAlign w:val="center"/>
          </w:tcPr>
          <w:p>
            <w:pPr>
              <w:spacing w:before="80" w:after="30"/>
              <w:jc w:val="center"/>
            </w:pPr>
            <w:r>
              <w:rPr>
                <w:rFonts w:ascii="Calibri" w:hAnsi="Calibri"/>
                <w:b/>
                <w:i w:val="0"/>
                <w:color w:val="FFFFFF"/>
                <w:sz w:val="30"/>
              </w:rPr>
              <w:t xml:space="preserve">140</w:t>
            </w:r>
          </w:p>
        </w:tc>
        <w:tc>
          <w:tcPr>
            <w:tcW w:type="dxa" w:w="2592"/>
            <w:shd w:val="clear" w:color="auto" w:fill="C09628"/>
            <w:vAlign w:val="center"/>
          </w:tcPr>
          <w:p>
            <w:pPr>
              <w:spacing w:before="80" w:after="30"/>
              <w:jc w:val="center"/>
            </w:pPr>
            <w:r>
              <w:rPr>
                <w:rFonts w:ascii="Calibri" w:hAnsi="Calibri"/>
                <w:b/>
                <w:i w:val="0"/>
                <w:color w:val="FFFFFF"/>
                <w:sz w:val="30"/>
              </w:rPr>
              <w:t xml:space="preserve">300+</w:t>
            </w:r>
          </w:p>
        </w:tc>
        <w:tc>
          <w:tcPr>
            <w:tcW w:type="dxa" w:w="2592"/>
            <w:shd w:val="clear" w:color="auto" w:fill="C09628"/>
            <w:vAlign w:val="center"/>
          </w:tcPr>
          <w:p>
            <w:pPr>
              <w:spacing w:before="80" w:after="30"/>
              <w:jc w:val="center"/>
            </w:pPr>
            <w:r>
              <w:rPr>
                <w:rFonts w:ascii="Calibri" w:hAnsi="Calibri"/>
                <w:b/>
                <w:i w:val="0"/>
                <w:color w:val="FFFFFF"/>
                <w:sz w:val="30"/>
              </w:rPr>
              <w:t xml:space="preserve">$200M</w:t>
            </w:r>
          </w:p>
        </w:tc>
      </w:tr>
      <w:tr>
        <w:tc>
          <w:tcPr>
            <w:tcW w:type="dxa" w:w="2592"/>
            <w:shd w:val="clear" w:color="auto" w:fill="1C1C1C"/>
            <w:vAlign w:val="center"/>
          </w:tcPr>
          <w:p>
            <w:pPr>
              <w:spacing w:before="40" w:after="80"/>
              <w:jc w:val="center"/>
            </w:pPr>
            <w:r>
              <w:rPr>
                <w:rFonts w:ascii="Calibri" w:hAnsi="Calibri"/>
                <w:b w:val="0"/>
                <w:i w:val="0"/>
                <w:color w:val="FFFFFF"/>
                <w:sz w:val="15"/>
              </w:rPr>
              <w:t xml:space="preserve">P&amp;L portfolio led</w:t>
            </w:r>
          </w:p>
        </w:tc>
        <w:tc>
          <w:tcPr>
            <w:tcW w:type="dxa" w:w="2592"/>
            <w:shd w:val="clear" w:color="auto" w:fill="1C1C1C"/>
            <w:vAlign w:val="center"/>
          </w:tcPr>
          <w:p>
            <w:pPr>
              <w:spacing w:before="40" w:after="80"/>
              <w:jc w:val="center"/>
            </w:pPr>
            <w:r>
              <w:rPr>
                <w:rFonts w:ascii="Calibri" w:hAnsi="Calibri"/>
                <w:b w:val="0"/>
                <w:i w:val="0"/>
                <w:color w:val="FFFFFF"/>
                <w:sz w:val="15"/>
              </w:rPr>
              <w:t xml:space="preserve">Person division overseen</w:t>
            </w:r>
          </w:p>
        </w:tc>
        <w:tc>
          <w:tcPr>
            <w:tcW w:type="dxa" w:w="2592"/>
            <w:shd w:val="clear" w:color="auto" w:fill="1C1C1C"/>
            <w:vAlign w:val="center"/>
          </w:tcPr>
          <w:p>
            <w:pPr>
              <w:spacing w:before="40" w:after="80"/>
              <w:jc w:val="center"/>
            </w:pPr>
            <w:r>
              <w:rPr>
                <w:rFonts w:ascii="Calibri" w:hAnsi="Calibri"/>
                <w:b w:val="0"/>
                <w:i w:val="0"/>
                <w:color w:val="FFFFFF"/>
                <w:sz w:val="15"/>
              </w:rPr>
              <w:t xml:space="preserve">Participants served annually</w:t>
            </w:r>
          </w:p>
        </w:tc>
        <w:tc>
          <w:tcPr>
            <w:tcW w:type="dxa" w:w="2592"/>
            <w:shd w:val="clear" w:color="auto" w:fill="1C1C1C"/>
            <w:vAlign w:val="center"/>
          </w:tcPr>
          <w:p>
            <w:pPr>
              <w:spacing w:before="40" w:after="80"/>
              <w:jc w:val="center"/>
            </w:pPr>
            <w:r>
              <w:rPr>
                <w:rFonts w:ascii="Calibri" w:hAnsi="Calibri"/>
                <w:b w:val="0"/>
                <w:i w:val="0"/>
                <w:color w:val="FFFFFF"/>
                <w:sz w:val="15"/>
              </w:rPr>
              <w:t xml:space="preserve">Banking initiative structured</w:t>
            </w:r>
          </w:p>
        </w:tc>
      </w:tr>
    </w:tbl>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SELECTED LEADERSHIP RESULTS</w:t>
      </w:r>
    </w:p>
    <w:p>
      <w:pPr>
        <w:spacing w:before="14" w:after="14" w:lineRule="exact" w:line="228"/>
        <w:ind w:left="187" w:hanging="187"/>
      </w:pPr>
      <w:r>
        <w:rPr>
          <w:rFonts w:ascii="Calibri" w:hAnsi="Calibri"/>
          <w:b w:val="0"/>
          <w:i w:val="0"/>
          <w:color w:val="C09628"/>
          <w:sz w:val="18"/>
        </w:rPr>
        <w:t xml:space="preserve">• </w:t>
      </w:r>
      <w:r>
        <w:rPr>
          <w:rFonts w:ascii="Calibri" w:hAnsi="Calibri"/>
          <w:b/>
          <w:i w:val="0"/>
          <w:color w:val="1C1C1C"/>
          <w:sz w:val="18"/>
        </w:rPr>
        <w:t xml:space="preserve">Built and expanded a business: </w:t>
      </w:r>
      <w:r>
        <w:rPr>
          <w:rFonts w:ascii="Calibri" w:hAnsi="Calibri"/>
          <w:b w:val="0"/>
          <w:i w:val="0"/>
          <w:color w:val="3A3A3A"/>
          <w:sz w:val="18"/>
        </w:rPr>
        <w:t xml:space="preserve">Grew Fitness Collective from a $5,000 investment, established a franchise model, and launched three additional locations.</w:t>
      </w:r>
    </w:p>
    <w:p>
      <w:pPr>
        <w:spacing w:before="14" w:after="14" w:lineRule="exact" w:line="228"/>
        <w:ind w:left="187" w:hanging="187"/>
      </w:pPr>
      <w:r>
        <w:rPr>
          <w:rFonts w:ascii="Calibri" w:hAnsi="Calibri"/>
          <w:b w:val="0"/>
          <w:i w:val="0"/>
          <w:color w:val="C09628"/>
          <w:sz w:val="18"/>
        </w:rPr>
        <w:t xml:space="preserve">• </w:t>
      </w:r>
      <w:r>
        <w:rPr>
          <w:rFonts w:ascii="Calibri" w:hAnsi="Calibri"/>
          <w:b/>
          <w:i w:val="0"/>
          <w:color w:val="1C1C1C"/>
          <w:sz w:val="18"/>
        </w:rPr>
        <w:t xml:space="preserve">Led at substantial scale: </w:t>
      </w:r>
      <w:r>
        <w:rPr>
          <w:rFonts w:ascii="Calibri" w:hAnsi="Calibri"/>
          <w:b w:val="0"/>
          <w:i w:val="0"/>
          <w:color w:val="3A3A3A"/>
          <w:sz w:val="18"/>
        </w:rPr>
        <w:t xml:space="preserve">Oversaw a 140-person division at Osborne Association, connecting financial accountability, workforce development, partnerships, and service delivery.</w:t>
      </w:r>
    </w:p>
    <w:p>
      <w:pPr>
        <w:spacing w:before="14" w:after="14" w:lineRule="exact" w:line="228"/>
        <w:ind w:left="187" w:hanging="187"/>
      </w:pPr>
      <w:r>
        <w:rPr>
          <w:rFonts w:ascii="Calibri" w:hAnsi="Calibri"/>
          <w:b w:val="0"/>
          <w:i w:val="0"/>
          <w:color w:val="C09628"/>
          <w:sz w:val="18"/>
        </w:rPr>
        <w:t xml:space="preserve">• </w:t>
      </w:r>
      <w:r>
        <w:rPr>
          <w:rFonts w:ascii="Calibri" w:hAnsi="Calibri"/>
          <w:b/>
          <w:i w:val="0"/>
          <w:color w:val="1C1C1C"/>
          <w:sz w:val="18"/>
        </w:rPr>
        <w:t xml:space="preserve">Created mission-driven programs: </w:t>
      </w:r>
      <w:r>
        <w:rPr>
          <w:rFonts w:ascii="Calibri" w:hAnsi="Calibri"/>
          <w:b w:val="0"/>
          <w:i w:val="0"/>
          <w:color w:val="3A3A3A"/>
          <w:sz w:val="18"/>
        </w:rPr>
        <w:t xml:space="preserve">Led a nine-month transitional-employment program serving 300+ formerly incarcerated people annually; created and delivered an NYPA clean-energy workforce project over 18 months.</w:t>
      </w:r>
    </w:p>
    <w:p>
      <w:pPr>
        <w:spacing w:before="14" w:after="14" w:lineRule="exact" w:line="228"/>
        <w:ind w:left="187" w:hanging="187"/>
      </w:pPr>
      <w:r>
        <w:rPr>
          <w:rFonts w:ascii="Calibri" w:hAnsi="Calibri"/>
          <w:b w:val="0"/>
          <w:i w:val="0"/>
          <w:color w:val="C09628"/>
          <w:sz w:val="18"/>
        </w:rPr>
        <w:t xml:space="preserve">• </w:t>
      </w:r>
      <w:r>
        <w:rPr>
          <w:rFonts w:ascii="Calibri" w:hAnsi="Calibri"/>
          <w:b/>
          <w:i w:val="0"/>
          <w:color w:val="1C1C1C"/>
          <w:sz w:val="18"/>
        </w:rPr>
        <w:t xml:space="preserve">Improved operating performance: </w:t>
      </w:r>
      <w:r>
        <w:rPr>
          <w:rFonts w:ascii="Calibri" w:hAnsi="Calibri"/>
          <w:b w:val="0"/>
          <w:i w:val="0"/>
          <w:color w:val="3A3A3A"/>
          <w:sz w:val="18"/>
        </w:rPr>
        <w:t xml:space="preserve">Reduced vendor costs 35% and processing time 60% at Alluel through negotiations and systems improvements.</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CORE EXPERTISE</w:t>
      </w:r>
    </w:p>
    <w:p>
      <w:pPr>
        <w:spacing w:before="20" w:after="40" w:lineRule="exact" w:line="230"/>
        <w:jc w:val="center"/>
      </w:pPr>
      <w:r>
        <w:rPr>
          <w:rFonts w:ascii="Calibri" w:hAnsi="Calibri"/>
          <w:b w:val="0"/>
          <w:i w:val="0"/>
          <w:color w:val="3A3A3A"/>
          <w:sz w:val="17"/>
        </w:rPr>
        <w:t xml:space="preserve">Organizational Growth  •  General Management  •  P&amp;L Leadership  •  Budgeting &amp; Resource Allocation  •  CEO &amp; Board Partnership  •  People Operations  •  Program Development  •  Coalition Building  •  Fundraising &amp; Grant Stewardship  •  Risk Management  •  Performance Reporting  •  Technology &amp; Process Improvement</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PROFESSIONAL EXPERIENCE</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368"/>
        <w:gridCol w:w="3000"/>
      </w:tblGrid>
      <w:tr>
        <w:tc>
          <w:tcPr>
            <w:tcW w:type="dxa" w:w="7368"/>
          </w:tcPr>
          <w:p>
            <w:pPr>
              <w:keepNext/>
              <w:spacing w:before="90" w:after="0"/>
            </w:pPr>
            <w:r>
              <w:rPr>
                <w:rFonts w:ascii="Calibri" w:hAnsi="Calibri"/>
                <w:b/>
                <w:i w:val="0"/>
                <w:color w:val="1C1C1C"/>
                <w:sz w:val="19"/>
              </w:rPr>
              <w:t xml:space="preserve">MAROON STRATEGIST, LLC</w:t>
            </w:r>
            <w:r>
              <w:rPr>
                <w:rFonts w:ascii="Calibri" w:hAnsi="Calibri"/>
                <w:b w:val="0"/>
                <w:i w:val="0"/>
                <w:color w:val="555555"/>
                <w:sz w:val="17"/>
              </w:rPr>
              <w:t xml:space="preserve">  |  Brooklyn, NY</w:t>
            </w:r>
          </w:p>
        </w:tc>
        <w:tc>
          <w:tcPr>
            <w:tcW w:type="dxa" w:w="3000"/>
          </w:tcPr>
          <w:p>
            <w:pPr>
              <w:keepNext/>
              <w:spacing w:before="90" w:after="0"/>
              <w:jc w:val="right"/>
            </w:pPr>
            <w:r>
              <w:rPr>
                <w:rFonts w:ascii="Calibri" w:hAnsi="Calibri"/>
                <w:b/>
                <w:i w:val="0"/>
                <w:color w:val="C09628"/>
                <w:sz w:val="18"/>
              </w:rPr>
              <w:t xml:space="preserve">Mar 2024–Present</w:t>
            </w:r>
          </w:p>
        </w:tc>
      </w:tr>
    </w:tbl>
    <w:p>
      <w:pPr>
        <w:keepNext/>
        <w:spacing w:before="0" w:after="20"/>
      </w:pPr>
      <w:r>
        <w:rPr>
          <w:rFonts w:ascii="Calibri" w:hAnsi="Calibri"/>
          <w:b w:val="0"/>
          <w:i/>
          <w:color w:val="1C1C1C"/>
          <w:sz w:val="18"/>
        </w:rPr>
        <w:t xml:space="preserve">Chief Financial Strategy Officer</w:t>
      </w:r>
    </w:p>
    <w:p>
      <w:pPr>
        <w:keepNext/>
        <w:spacing w:before="0" w:after="30" w:lineRule="exact" w:line="220"/>
      </w:pPr>
      <w:r>
        <w:rPr>
          <w:rFonts w:ascii="Calibri" w:hAnsi="Calibri"/>
          <w:b w:val="0"/>
          <w:i/>
          <w:color w:val="555555"/>
          <w:sz w:val="17"/>
        </w:rPr>
        <w:t xml:space="preserve">Fractional CFO and program leadership across nonprofit, public-sector, education, healthcare, personal services, tax advisory, event planning, and other business operations.</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Created and led the NYPA clean-energy workforce training project from inception through final delivery over 18 months, overseeing proposal development, program design, budgeting, partner coordination, and participant training.</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Built a workforce coalition spanning city and state agencies, elected officials, academic partners, Stanford Innovation Lab, KPMG, and the New York Power Authority, coordinating responsibilities and resources around energy training.</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Developed and managed a multimillion-dollar project budget, allocating direct and indirect costs, managing restricted cash flow, and aligning expenditures with grant requirements and delivery milestones.</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Led fundraising and partnership-agreement development, connecting funding commitments, partner responsibilities, and implementation needs.</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Direct budgeting, forecasting, cash management, and multi-entity financial planning; advise leaders on financing, working capital, and growth priorities.</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Build financial models, KPI dashboards, and SOPs; coordinate financial cleanup and reporting remediation with clients, accountants, and stakeholders.</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368"/>
        <w:gridCol w:w="3000"/>
      </w:tblGrid>
      <w:tr>
        <w:tc>
          <w:tcPr>
            <w:tcW w:type="dxa" w:w="7368"/>
          </w:tcPr>
          <w:p>
            <w:pPr>
              <w:keepNext/>
              <w:spacing w:before="90" w:after="0"/>
            </w:pPr>
            <w:r>
              <w:rPr>
                <w:rFonts w:ascii="Calibri" w:hAnsi="Calibri"/>
                <w:b/>
                <w:i w:val="0"/>
                <w:color w:val="1C1C1C"/>
                <w:sz w:val="19"/>
              </w:rPr>
              <w:t xml:space="preserve">OSBORNE ASSOCIATION</w:t>
            </w:r>
            <w:r>
              <w:rPr>
                <w:rFonts w:ascii="Calibri" w:hAnsi="Calibri"/>
                <w:b w:val="0"/>
                <w:i w:val="0"/>
                <w:color w:val="555555"/>
                <w:sz w:val="17"/>
              </w:rPr>
              <w:t xml:space="preserve">  |  New York, NY</w:t>
            </w:r>
          </w:p>
        </w:tc>
        <w:tc>
          <w:tcPr>
            <w:tcW w:type="dxa" w:w="3000"/>
          </w:tcPr>
          <w:p>
            <w:pPr>
              <w:keepNext/>
              <w:spacing w:before="90" w:after="0"/>
              <w:jc w:val="right"/>
            </w:pPr>
            <w:r>
              <w:rPr>
                <w:rFonts w:ascii="Calibri" w:hAnsi="Calibri"/>
                <w:b/>
                <w:i w:val="0"/>
                <w:color w:val="C09628"/>
                <w:sz w:val="18"/>
              </w:rPr>
              <w:t xml:space="preserve">Jan 2023–Oct 2025</w:t>
            </w:r>
          </w:p>
        </w:tc>
      </w:tr>
    </w:tbl>
    <w:p>
      <w:pPr>
        <w:keepNext/>
        <w:spacing w:before="0" w:after="20"/>
      </w:pPr>
      <w:r>
        <w:rPr>
          <w:rFonts w:ascii="Calibri" w:hAnsi="Calibri"/>
          <w:b w:val="0"/>
          <w:i/>
          <w:color w:val="1C1C1C"/>
          <w:sz w:val="18"/>
        </w:rPr>
        <w:t xml:space="preserve">Vice President, Business Development &amp; Social Ventures</w:t>
      </w:r>
    </w:p>
    <w:p>
      <w:pPr>
        <w:keepNext/>
        <w:spacing w:before="0" w:after="30" w:lineRule="exact" w:line="220"/>
      </w:pPr>
      <w:r>
        <w:rPr>
          <w:rFonts w:ascii="Calibri" w:hAnsi="Calibri"/>
          <w:b w:val="0"/>
          <w:i/>
          <w:color w:val="555555"/>
          <w:sz w:val="17"/>
        </w:rPr>
        <w:t xml:space="preserve">Financial and operational oversight of a 140-person division in a human-services organization supporting people affected by the criminal legal system.</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Held full P&amp;L accountability for an $80M portfolio, aligning budgets, staffing, partnerships, and program priorities.</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Partnered with the CEO and Board on long-range planning, risk management, resource allocation, and organizational growth.</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Led a nine-month transitional-employment program serving 300+ formerly incarcerated people annually, coordinating employer partnerships and tracking outcomes against funder benchmarks.</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Negotiated government, corporate, and philanthropic partnerships and developed earned-income social ventures to support mission delivery.</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Authored a strategic growth and feasibility white paper on a potential Rikers Island service contract, integrating financial modeling, workforce needs, mission alignment, employee well-being, and operational risk.</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Developed a roadmap for potentially doubling JMS within 12 months, identifying investments in management capacity, recruitment, training, contract oversight, payroll, compliance, and technology.</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Oversaw departmental talent acquisition, onboarding, staff development, and performance management.</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368"/>
        <w:gridCol w:w="3000"/>
      </w:tblGrid>
      <w:tr>
        <w:tc>
          <w:tcPr>
            <w:tcW w:type="dxa" w:w="7368"/>
          </w:tcPr>
          <w:p>
            <w:pPr>
              <w:keepNext/>
              <w:spacing w:before="90" w:after="0"/>
            </w:pPr>
            <w:r>
              <w:rPr>
                <w:rFonts w:ascii="Calibri" w:hAnsi="Calibri"/>
                <w:b/>
                <w:i w:val="0"/>
                <w:color w:val="1C1C1C"/>
                <w:sz w:val="19"/>
              </w:rPr>
              <w:t xml:space="preserve">ALLUEL LOGISTICS</w:t>
            </w:r>
            <w:r>
              <w:rPr>
                <w:rFonts w:ascii="Calibri" w:hAnsi="Calibri"/>
                <w:b w:val="0"/>
                <w:i w:val="0"/>
                <w:color w:val="555555"/>
                <w:sz w:val="17"/>
              </w:rPr>
              <w:t xml:space="preserve">  |  New York, NY</w:t>
            </w:r>
          </w:p>
        </w:tc>
        <w:tc>
          <w:tcPr>
            <w:tcW w:type="dxa" w:w="3000"/>
          </w:tcPr>
          <w:p>
            <w:pPr>
              <w:keepNext/>
              <w:spacing w:before="90" w:after="0"/>
              <w:jc w:val="right"/>
            </w:pPr>
            <w:r>
              <w:rPr>
                <w:rFonts w:ascii="Calibri" w:hAnsi="Calibri"/>
                <w:b/>
                <w:i w:val="0"/>
                <w:color w:val="C09628"/>
                <w:sz w:val="18"/>
              </w:rPr>
              <w:t xml:space="preserve">Nov 2021–Aug 2022</w:t>
            </w:r>
          </w:p>
        </w:tc>
      </w:tr>
    </w:tbl>
    <w:p>
      <w:pPr>
        <w:keepNext/>
        <w:spacing w:before="0" w:after="20"/>
      </w:pPr>
      <w:r>
        <w:rPr>
          <w:rFonts w:ascii="Calibri" w:hAnsi="Calibri"/>
          <w:b w:val="0"/>
          <w:i/>
          <w:color w:val="1C1C1C"/>
          <w:sz w:val="18"/>
        </w:rPr>
        <w:t xml:space="preserve">Vice President of Operations</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Managed a $2M operating budget and renegotiated vendor agreements, reducing supply-chain and logistics costs 35%.</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Implemented warehouse-management technology that cut data-processing time 60%; introduced CRM systems and trained staff.</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Oversaw NYCHA logistics contracts serving 100 developments and supervised ~$500K in monthly NYC DHS billing.</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Recruited and managed field, sales, and administrative staff; improved HR workflows and data accuracy.</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368"/>
        <w:gridCol w:w="3000"/>
      </w:tblGrid>
      <w:tr>
        <w:tc>
          <w:tcPr>
            <w:tcW w:type="dxa" w:w="7368"/>
          </w:tcPr>
          <w:p>
            <w:pPr>
              <w:keepNext/>
              <w:spacing w:before="90" w:after="0"/>
            </w:pPr>
            <w:r>
              <w:rPr>
                <w:rFonts w:ascii="Calibri" w:hAnsi="Calibri"/>
                <w:b/>
                <w:i w:val="0"/>
                <w:color w:val="1C1C1C"/>
                <w:sz w:val="19"/>
              </w:rPr>
              <w:t xml:space="preserve">LAZARRE CONSULTING GROUP</w:t>
            </w:r>
            <w:r>
              <w:rPr>
                <w:rFonts w:ascii="Calibri" w:hAnsi="Calibri"/>
                <w:b w:val="0"/>
                <w:i w:val="0"/>
                <w:color w:val="555555"/>
                <w:sz w:val="17"/>
              </w:rPr>
              <w:t xml:space="preserve">  |  New York, NY</w:t>
            </w:r>
          </w:p>
        </w:tc>
        <w:tc>
          <w:tcPr>
            <w:tcW w:type="dxa" w:w="3000"/>
          </w:tcPr>
          <w:p>
            <w:pPr>
              <w:keepNext/>
              <w:spacing w:before="90" w:after="0"/>
              <w:jc w:val="right"/>
            </w:pPr>
            <w:r>
              <w:rPr>
                <w:rFonts w:ascii="Calibri" w:hAnsi="Calibri"/>
                <w:b/>
                <w:i w:val="0"/>
                <w:color w:val="C09628"/>
                <w:sz w:val="18"/>
              </w:rPr>
              <w:t xml:space="preserve">Dec 2016–Present</w:t>
            </w:r>
          </w:p>
        </w:tc>
      </w:tr>
    </w:tbl>
    <w:p>
      <w:pPr>
        <w:keepNext/>
        <w:spacing w:before="0" w:after="20"/>
      </w:pPr>
      <w:r>
        <w:rPr>
          <w:rFonts w:ascii="Calibri" w:hAnsi="Calibri"/>
          <w:b w:val="0"/>
          <w:i/>
          <w:color w:val="1C1C1C"/>
          <w:sz w:val="18"/>
        </w:rPr>
        <w:t xml:space="preserve">Chief Executive Officer</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Served as financial architect for a $200M national banking development initiative, supporting capital planning and financial structuring.</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Developed operating and performance-improvement strategies for organizations and brands including American Express OPEN, Ogilvy, and Chubb.</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Led financial remediation for a psychological services practice, identifying ~$251K in unclaimed deductions and preparing corrected financial statements.</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368"/>
        <w:gridCol w:w="3000"/>
      </w:tblGrid>
      <w:tr>
        <w:tc>
          <w:tcPr>
            <w:tcW w:type="dxa" w:w="7368"/>
          </w:tcPr>
          <w:p>
            <w:pPr>
              <w:keepNext/>
              <w:spacing w:before="90" w:after="0"/>
            </w:pPr>
            <w:r>
              <w:rPr>
                <w:rFonts w:ascii="Calibri" w:hAnsi="Calibri"/>
                <w:b/>
                <w:i w:val="0"/>
                <w:color w:val="1C1C1C"/>
                <w:sz w:val="19"/>
              </w:rPr>
              <w:t xml:space="preserve">FITNESS COLLECTIVE INC.</w:t>
            </w:r>
            <w:r>
              <w:rPr>
                <w:rFonts w:ascii="Calibri" w:hAnsi="Calibri"/>
                <w:b w:val="0"/>
                <w:i w:val="0"/>
                <w:color w:val="555555"/>
                <w:sz w:val="17"/>
              </w:rPr>
              <w:t xml:space="preserve">  |  Brooklyn, NY</w:t>
            </w:r>
          </w:p>
        </w:tc>
        <w:tc>
          <w:tcPr>
            <w:tcW w:type="dxa" w:w="3000"/>
          </w:tcPr>
          <w:p>
            <w:pPr>
              <w:keepNext/>
              <w:spacing w:before="90" w:after="0"/>
              <w:jc w:val="right"/>
            </w:pPr>
            <w:r>
              <w:rPr>
                <w:rFonts w:ascii="Calibri" w:hAnsi="Calibri"/>
                <w:b/>
                <w:i w:val="0"/>
                <w:color w:val="C09628"/>
                <w:sz w:val="18"/>
              </w:rPr>
              <w:t xml:space="preserve">2004–2016</w:t>
            </w:r>
          </w:p>
        </w:tc>
      </w:tr>
    </w:tbl>
    <w:p>
      <w:pPr>
        <w:keepNext/>
        <w:spacing w:before="0" w:after="20"/>
      </w:pPr>
      <w:r>
        <w:rPr>
          <w:rFonts w:ascii="Calibri" w:hAnsi="Calibri"/>
          <w:b w:val="0"/>
          <w:i/>
          <w:color w:val="1C1C1C"/>
          <w:sz w:val="18"/>
        </w:rPr>
        <w:t xml:space="preserve">CEO and Co-Founder</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Scaled from a $5,000 investment to $1M in annual revenue within 24 months, then implemented a franchise model and launched three additional locations, growing to $10M in annual sales.</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Built HR, payroll, and benefits infrastructure for 50+ employees, overseeing recruitment, training, performance management, and ~$65K in monthly payroll.</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Implemented Mindbody CRM for client tracking, online booking, and targeted engagement across 4,000+ clients; established a training academy that certified 25 trainers.</w:t>
      </w:r>
    </w:p>
    <w:p>
      <w:pPr>
        <w:spacing w:before="14" w:after="14" w:lineRule="exact" w:line="228"/>
        <w:ind w:left="187" w:hanging="187"/>
      </w:pPr>
      <w:r>
        <w:rPr>
          <w:rFonts w:ascii="Calibri" w:hAnsi="Calibri"/>
          <w:b w:val="0"/>
          <w:i w:val="0"/>
          <w:color w:val="C09628"/>
          <w:sz w:val="18"/>
        </w:rPr>
        <w:t xml:space="preserve">• </w:t>
      </w:r>
      <w:r>
        <w:rPr>
          <w:rFonts w:ascii="Calibri" w:hAnsi="Calibri"/>
          <w:b w:val="0"/>
          <w:i w:val="0"/>
          <w:color w:val="3A3A3A"/>
          <w:sz w:val="18"/>
        </w:rPr>
        <w:t xml:space="preserve">Developed local business partnerships, cross-marketing initiatives, and community events; negotiated vendor and utility agreements.</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TECHNOLOGY &amp; PROGRAM INNOVATION</w:t>
      </w:r>
    </w:p>
    <w:p>
      <w:pPr>
        <w:spacing w:before="14" w:after="14" w:lineRule="exact" w:line="228"/>
        <w:ind w:left="187" w:hanging="187"/>
      </w:pPr>
      <w:r>
        <w:rPr>
          <w:rFonts w:ascii="Calibri" w:hAnsi="Calibri"/>
          <w:b w:val="0"/>
          <w:i w:val="0"/>
          <w:color w:val="C09628"/>
          <w:sz w:val="18"/>
        </w:rPr>
        <w:t xml:space="preserve">• </w:t>
      </w:r>
      <w:r>
        <w:rPr>
          <w:rFonts w:ascii="Calibri" w:hAnsi="Calibri"/>
          <w:b/>
          <w:i w:val="0"/>
          <w:color w:val="1C1C1C"/>
          <w:sz w:val="18"/>
        </w:rPr>
        <w:t xml:space="preserve">SkyNet: </w:t>
      </w:r>
      <w:r>
        <w:rPr>
          <w:rFonts w:ascii="Calibri" w:hAnsi="Calibri"/>
          <w:b w:val="0"/>
          <w:i w:val="0"/>
          <w:color w:val="3A3A3A"/>
          <w:sz w:val="18"/>
        </w:rPr>
        <w:t xml:space="preserve">Built an AI-supported workflow connecting opportunity research, evaluation, document preparation, and reporting, with evidence validation, cost controls, and performance tracking.</w:t>
      </w:r>
    </w:p>
    <w:p>
      <w:pPr>
        <w:spacing w:before="14" w:after="14" w:lineRule="exact" w:line="228"/>
        <w:ind w:left="187" w:hanging="187"/>
      </w:pPr>
      <w:r>
        <w:rPr>
          <w:rFonts w:ascii="Calibri" w:hAnsi="Calibri"/>
          <w:b w:val="0"/>
          <w:i w:val="0"/>
          <w:color w:val="C09628"/>
          <w:sz w:val="18"/>
        </w:rPr>
        <w:t xml:space="preserve">• </w:t>
      </w:r>
      <w:r>
        <w:rPr>
          <w:rFonts w:ascii="Calibri" w:hAnsi="Calibri"/>
          <w:b/>
          <w:i w:val="0"/>
          <w:color w:val="1C1C1C"/>
          <w:sz w:val="18"/>
        </w:rPr>
        <w:t xml:space="preserve">JWA AI Career Launch: </w:t>
      </w:r>
      <w:r>
        <w:rPr>
          <w:rFonts w:ascii="Calibri" w:hAnsi="Calibri"/>
          <w:b w:val="0"/>
          <w:i w:val="0"/>
          <w:color w:val="3A3A3A"/>
          <w:sz w:val="18"/>
        </w:rPr>
        <w:t xml:space="preserve">Designed and submitted a Citi Foundation proposal connecting AI learning, workforce preparation, and employment support, with measures for skills, employment, wages, and retention.</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EDUCATION</w:t>
      </w:r>
    </w:p>
    <w:p>
      <w:pPr>
        <w:spacing w:before="10" w:after="10"/>
      </w:pPr>
      <w:r>
        <w:rPr>
          <w:rFonts w:ascii="Calibri" w:hAnsi="Calibri"/>
          <w:b/>
          <w:i w:val="0"/>
          <w:color w:val="1C1C1C"/>
          <w:sz w:val="18"/>
        </w:rPr>
        <w:t xml:space="preserve">Master of Business Administration, General Business Management</w:t>
      </w:r>
      <w:r>
        <w:rPr>
          <w:rFonts w:ascii="Calibri" w:hAnsi="Calibri"/>
          <w:b w:val="0"/>
          <w:i w:val="0"/>
          <w:color w:val="3A3A3A"/>
          <w:sz w:val="18"/>
        </w:rPr>
        <w:t xml:space="preserve">  |  West Texas A&amp;M University  |  2023</w:t>
      </w:r>
    </w:p>
    <w:p>
      <w:pPr>
        <w:spacing w:before="10" w:after="10"/>
      </w:pPr>
      <w:r>
        <w:rPr>
          <w:rFonts w:ascii="Calibri" w:hAnsi="Calibri"/>
          <w:b/>
          <w:i w:val="0"/>
          <w:color w:val="1C1C1C"/>
          <w:sz w:val="18"/>
        </w:rPr>
        <w:t xml:space="preserve">Bachelor of Science, Small Business Administration</w:t>
      </w:r>
      <w:r>
        <w:rPr>
          <w:rFonts w:ascii="Calibri" w:hAnsi="Calibri"/>
          <w:b w:val="0"/>
          <w:i w:val="0"/>
          <w:color w:val="3A3A3A"/>
          <w:sz w:val="18"/>
        </w:rPr>
        <w:t xml:space="preserve">  |  Northern Arizona University</w:t>
      </w:r>
    </w:p>
    <w:sectPr w:rsidR="00FC693F" w:rsidRPr="0006063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