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C1C1C"/>
          <w:sz w:val="48"/>
        </w:rPr>
        <w:t xml:space="preserve">CLAVEL M. LAZARRE</w:t>
      </w:r>
      <w:r>
        <w:rPr>
          <w:rFonts w:ascii="Calibri" w:hAnsi="Calibri"/>
          <w:b w:val="0"/>
          <w:i w:val="0"/>
          <w:color w:val="C09628"/>
          <w:sz w:val="26"/>
        </w:rPr>
        <w:t xml:space="preserve">,  MBA</w:t>
      </w:r>
    </w:p>
    <w:p>
      <w:pPr>
        <w:spacing w:before="20" w:after="40"/>
        <w:jc w:val="center"/>
      </w:pPr>
      <w:r>
        <w:rPr>
          <w:rFonts w:ascii="Calibri" w:hAnsi="Calibri"/>
          <w:b w:val="0"/>
          <w:i w:val="0"/>
          <w:color w:val="C09628"/>
          <w:sz w:val="17"/>
        </w:rPr>
        <w:t xml:space="preserve">HEALTHCARE &amp; HUMAN SERVICES OPERATIONS  ·  QUALITY &amp; COMPLIANCE  ·  FINANCIAL STEWARDSHIP  ·  TEAM LEADERSHIP</w:t>
      </w:r>
    </w:p>
    <w:p>
      <w:pPr>
        <w:spacing w:before="20" w:after="80"/>
        <w:jc w:val="center"/>
      </w:pPr>
      <w:r>
        <w:rPr>
          <w:rFonts w:ascii="Calibri" w:hAnsi="Calibri"/>
          <w:b w:val="0"/>
          <w:i w:val="0"/>
          <w:color w:val="555555"/>
          <w:sz w:val="18"/>
        </w:rPr>
        <w:t xml:space="preserve">Brooklyn, NY  |  347-607-8164  |  lazarreclavel3@gmail.com</w:t>
      </w:r>
    </w:p>
    <w:p>
      <w:pPr>
        <w:spacing w:before="0" w:after="120"/>
        <w:pBdr>
          <w:bottom w:val="single" w:sz="8" w:space="1" w:color="C09628"/>
        </w:pBdr>
      </w:pP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EXECUTIVE PROFILE</w:t>
      </w:r>
    </w:p>
    <w:p>
      <w:pPr>
        <w:spacing w:before="40" w:after="80" w:lineRule="exact" w:line="250"/>
      </w:pPr>
      <w:r>
        <w:rPr>
          <w:rFonts w:ascii="Calibri" w:hAnsi="Calibri"/>
          <w:b w:val="0"/>
          <w:i w:val="0"/>
          <w:color w:val="3A3A3A"/>
          <w:sz w:val="19"/>
        </w:rPr>
        <w:t xml:space="preserve">Operations executive with 20+ years of progressive leadership running multi-department, mission-driven organizations, including direct P&amp;L accountability for an $8M portfolio and a 140-person interdisciplinary division within a $50M+ human-services nonprofit. Trusted partner to CEOs and boards on strategic planning, long-range operational design, and new program development. Turns data into decisions through KPI dashboards and scorecard-style performance management across financial, service-quality, growth, and performance-improvement measures. Reversed a $1M operating deficit into a 13% surplus while improving service delivery. Leads with empathy and accountability: building engaged leadership teams, resolving concerns from the people served, their families, and staff, and representing the organization in public forums. Deeply committed to vulnerable children, young adults, and families, and to care delivered with excellence, dignity, and compassion.</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SELECTED OPERATIONAL IMPACT</w:t>
      </w:r>
    </w:p>
    <w:tbl>
      <w:tblPr>
        <w:tblW w:type="auto" w:w="0"/>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92"/>
        <w:gridCol w:w="2592"/>
        <w:gridCol w:w="2592"/>
        <w:gridCol w:w="2592"/>
      </w:tblGrid>
      <w:tr>
        <w:tc>
          <w:tcPr>
            <w:tcW w:type="dxa" w:w="2592"/>
            <w:shd w:val="clear" w:color="auto" w:fill="C09628"/>
            <w:vAlign w:val="center"/>
          </w:tcPr>
          <w:p>
            <w:pPr>
              <w:spacing w:before="100" w:after="40"/>
              <w:jc w:val="center"/>
            </w:pPr>
            <w:r>
              <w:rPr>
                <w:rFonts w:ascii="Calibri" w:hAnsi="Calibri"/>
                <w:b/>
                <w:i w:val="0"/>
                <w:color w:val="FFFFFF"/>
                <w:sz w:val="32"/>
              </w:rPr>
              <w:t xml:space="preserve">$1M → 13%</w:t>
            </w:r>
          </w:p>
        </w:tc>
        <w:tc>
          <w:tcPr>
            <w:tcW w:type="dxa" w:w="2592"/>
            <w:shd w:val="clear" w:color="auto" w:fill="C09628"/>
            <w:vAlign w:val="center"/>
          </w:tcPr>
          <w:p>
            <w:pPr>
              <w:spacing w:before="100" w:after="40"/>
              <w:jc w:val="center"/>
            </w:pPr>
            <w:r>
              <w:rPr>
                <w:rFonts w:ascii="Calibri" w:hAnsi="Calibri"/>
                <w:b/>
                <w:i w:val="0"/>
                <w:color w:val="FFFFFF"/>
                <w:sz w:val="32"/>
              </w:rPr>
              <w:t xml:space="preserve">$8M</w:t>
            </w:r>
          </w:p>
        </w:tc>
        <w:tc>
          <w:tcPr>
            <w:tcW w:type="dxa" w:w="2592"/>
            <w:shd w:val="clear" w:color="auto" w:fill="C09628"/>
            <w:vAlign w:val="center"/>
          </w:tcPr>
          <w:p>
            <w:pPr>
              <w:spacing w:before="100" w:after="40"/>
              <w:jc w:val="center"/>
            </w:pPr>
            <w:r>
              <w:rPr>
                <w:rFonts w:ascii="Calibri" w:hAnsi="Calibri"/>
                <w:b/>
                <w:i w:val="0"/>
                <w:color w:val="FFFFFF"/>
                <w:sz w:val="32"/>
              </w:rPr>
              <w:t xml:space="preserve">140</w:t>
            </w:r>
          </w:p>
        </w:tc>
        <w:tc>
          <w:tcPr>
            <w:tcW w:type="dxa" w:w="2592"/>
            <w:shd w:val="clear" w:color="auto" w:fill="C09628"/>
            <w:vAlign w:val="center"/>
          </w:tcPr>
          <w:p>
            <w:pPr>
              <w:spacing w:before="100" w:after="40"/>
              <w:jc w:val="center"/>
            </w:pPr>
            <w:r>
              <w:rPr>
                <w:rFonts w:ascii="Calibri" w:hAnsi="Calibri"/>
                <w:b/>
                <w:i w:val="0"/>
                <w:color w:val="FFFFFF"/>
                <w:sz w:val="32"/>
              </w:rPr>
              <w:t xml:space="preserve">300+</w:t>
            </w:r>
          </w:p>
        </w:tc>
      </w:tr>
      <w:tr>
        <w:tc>
          <w:tcPr>
            <w:tcW w:type="dxa" w:w="2592"/>
            <w:shd w:val="clear" w:color="auto" w:fill="1C1C1C"/>
            <w:vAlign w:val="center"/>
          </w:tcPr>
          <w:p>
            <w:pPr>
              <w:spacing w:before="60" w:after="100"/>
              <w:jc w:val="center"/>
            </w:pPr>
            <w:r>
              <w:rPr>
                <w:rFonts w:ascii="Calibri" w:hAnsi="Calibri"/>
                <w:b w:val="0"/>
                <w:i w:val="0"/>
                <w:color w:val="FFFFFF"/>
                <w:sz w:val="15"/>
              </w:rPr>
              <w:t xml:space="preserve">Deficit reversed to surplus</w:t>
            </w:r>
          </w:p>
        </w:tc>
        <w:tc>
          <w:tcPr>
            <w:tcW w:type="dxa" w:w="2592"/>
            <w:shd w:val="clear" w:color="auto" w:fill="1C1C1C"/>
            <w:vAlign w:val="center"/>
          </w:tcPr>
          <w:p>
            <w:pPr>
              <w:spacing w:before="60" w:after="100"/>
              <w:jc w:val="center"/>
            </w:pPr>
            <w:r>
              <w:rPr>
                <w:rFonts w:ascii="Calibri" w:hAnsi="Calibri"/>
                <w:b w:val="0"/>
                <w:i w:val="0"/>
                <w:color w:val="FFFFFF"/>
                <w:sz w:val="15"/>
              </w:rPr>
              <w:t xml:space="preserve">P&amp;L portfolio directed</w:t>
            </w:r>
          </w:p>
        </w:tc>
        <w:tc>
          <w:tcPr>
            <w:tcW w:type="dxa" w:w="2592"/>
            <w:shd w:val="clear" w:color="auto" w:fill="1C1C1C"/>
            <w:vAlign w:val="center"/>
          </w:tcPr>
          <w:p>
            <w:pPr>
              <w:spacing w:before="60" w:after="100"/>
              <w:jc w:val="center"/>
            </w:pPr>
            <w:r>
              <w:rPr>
                <w:rFonts w:ascii="Calibri" w:hAnsi="Calibri"/>
                <w:b w:val="0"/>
                <w:i w:val="0"/>
                <w:color w:val="FFFFFF"/>
                <w:sz w:val="15"/>
              </w:rPr>
              <w:t xml:space="preserve">Staff across division</w:t>
            </w:r>
          </w:p>
        </w:tc>
        <w:tc>
          <w:tcPr>
            <w:tcW w:type="dxa" w:w="2592"/>
            <w:shd w:val="clear" w:color="auto" w:fill="1C1C1C"/>
            <w:vAlign w:val="center"/>
          </w:tcPr>
          <w:p>
            <w:pPr>
              <w:spacing w:before="60" w:after="100"/>
              <w:jc w:val="center"/>
            </w:pPr>
            <w:r>
              <w:rPr>
                <w:rFonts w:ascii="Calibri" w:hAnsi="Calibri"/>
                <w:b w:val="0"/>
                <w:i w:val="0"/>
                <w:color w:val="FFFFFF"/>
                <w:sz w:val="15"/>
              </w:rPr>
              <w:t xml:space="preserve">Individuals served annually</w:t>
            </w:r>
          </w:p>
        </w:tc>
      </w:tr>
    </w:tbl>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CORE LEADERSHIP CAPABILITIES</w:t>
      </w:r>
    </w:p>
    <w:p>
      <w:pPr>
        <w:spacing w:before="40" w:after="80" w:lineRule="exact" w:line="240"/>
        <w:jc w:val="center"/>
      </w:pPr>
      <w:r>
        <w:rPr>
          <w:rFonts w:ascii="Calibri" w:hAnsi="Calibri"/>
          <w:b w:val="0"/>
          <w:i w:val="0"/>
          <w:color w:val="3A3A3A"/>
          <w:sz w:val="17"/>
        </w:rPr>
        <w:t xml:space="preserve">Strategic &amp; Long-Range Operational Planning  •  Multi-Department Operations Leadership  •  Interdisciplinary Team Leadership  •  Budgeting, P&amp;L &amp; Variance Management  •  KPI Dashboards &amp; Balanced Scorecard Measures  •  Quality &amp; Performance Improvement  •  Regulatory, Audit &amp; Government-Contract Compliance  •  New Program &amp; Service-Line Development  •  Staffing Models &amp; Workforce Planning  •  Recruitment, Retention &amp; Succession Planning  •  Employee Engagement &amp; Mentorship  •  Family, Client &amp; Staff Concern Resolution  •  CEO &amp; Board Partnership  •  Community &amp; Government Partnerships  •  Turnaround &amp; Change Management  •  Public Speaking &amp; External Representation</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PROFESSIONAL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MAROON STRATEGIST LLC  |  Founder and Principal Consultant</w:t>
            </w:r>
          </w:p>
        </w:tc>
        <w:tc>
          <w:tcPr>
            <w:tcW w:type="dxa" w:w="5184"/>
          </w:tcPr>
          <w:p>
            <w:pPr>
              <w:keepNext/>
              <w:spacing w:before="100" w:after="20"/>
              <w:jc w:val="right"/>
            </w:pPr>
            <w:r>
              <w:rPr>
                <w:rFonts w:ascii="Calibri" w:hAnsi="Calibri"/>
                <w:b w:val="0"/>
                <w:i w:val="0"/>
                <w:color w:val="C09628"/>
                <w:sz w:val="18"/>
              </w:rPr>
              <w:t xml:space="preserve">2025–Present</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Advise nonprofit and mission-driven executives on operational infrastructure, financial strategy, performance management, and scalable service delivery.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Developed and manage a publicly funded workforce initiative, overseeing training, credentialing, partner coordination, compliance, and outcomes reporting to government funders.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Provide executive-level financial and operational leadership: forecasting, cash-flow planning, internal controls, compliance, vendor management, and external representation.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SkyNet, an AI-supported platform that standardizes workflows and generates real-time performance data for program monitoring and funder reporting.</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THE OSBORNE ASSOCIATION  |  Vice President, Business Development &amp; Social Ventures</w:t>
            </w:r>
          </w:p>
        </w:tc>
        <w:tc>
          <w:tcPr>
            <w:tcW w:type="dxa" w:w="5184"/>
          </w:tcPr>
          <w:p>
            <w:pPr>
              <w:keepNext/>
              <w:spacing w:before="100" w:after="20"/>
              <w:jc w:val="right"/>
            </w:pPr>
            <w:r>
              <w:rPr>
                <w:rFonts w:ascii="Calibri" w:hAnsi="Calibri"/>
                <w:b w:val="0"/>
                <w:i w:val="0"/>
                <w:color w:val="C09628"/>
                <w:sz w:val="18"/>
              </w:rPr>
              <w:t xml:space="preserve">Jan 2023–May 2025</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Directed daily operations and P&amp;L for an $8M portfolio within a $50M+ human-services nonprofit; led a 140-person interdisciplinary division spanning social services, workforce development, and revenue-generating programs.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Reversed a $1M annual operating deficit and delivered a 13% operating surplus through budget restructuring, financial controls, proactive variance management, and KPI-based accountability, without reducing service levels.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Partnered with the CEO and Board on strategic direction and long-range planning; translated organizational objectives into departmental goals, performance standards, and data-driven operating reviews.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Structured and negotiated $10M+ in new government, institutional, and corporate contracts; aligned program design, staffing patterns, and outcome reporting to contract and regulatory requirements.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Selected, developed, and coached the division’s managers; promoted engagement by involving staff in decisions and building clear paths for skill development and internal advancement.</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Oversaw a person-centered service model reaching 300+ participants annually, coordinating integrated services with 250+ volunteers, employers, and community partners to improve outcomes for vulnerable New Yorkers.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Launched new programs and service lines (catering, facility services, hospitality) that generated earned revenue and expanded the organization’s capacity to serve.</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Represented the organization at public events, panels, stakeholder forums, and NYC Climate Week, presenting program results and advocating for the populations served.</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ADDITIONAL EXECUTIVE EXPERIENCE</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ALLUEL LOGISTICS  |  Vice President of Operations</w:t>
            </w:r>
          </w:p>
        </w:tc>
        <w:tc>
          <w:tcPr>
            <w:tcW w:type="dxa" w:w="5184"/>
          </w:tcPr>
          <w:p>
            <w:pPr>
              <w:keepNext/>
              <w:spacing w:before="100" w:after="20"/>
              <w:jc w:val="right"/>
            </w:pPr>
            <w:r>
              <w:rPr>
                <w:rFonts w:ascii="Calibri" w:hAnsi="Calibri"/>
                <w:b w:val="0"/>
                <w:i w:val="0"/>
                <w:color w:val="C09628"/>
                <w:sz w:val="18"/>
              </w:rPr>
              <w:t xml:space="preserve">Nov 2021–Aug 2022</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Led operations, service delivery, billing, and vendor strategy for government contracts with NYCHA and the NYC Department of Homeless Services, meeting public-agency performance and documentation standards.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Increased revenue 39% and strengthened margins by renegotiating vendor agreements and instituting disciplined performance management.</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Implemented Salesforce and new operating systems, training staff to improve visibility, accountability, and client responsiveness.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MONARK CONSULTING GROUP  |  Chief Operating Officer and Chief Operating Consultant</w:t>
            </w:r>
          </w:p>
        </w:tc>
        <w:tc>
          <w:tcPr>
            <w:tcW w:type="dxa" w:w="5184"/>
          </w:tcPr>
          <w:p>
            <w:pPr>
              <w:keepNext/>
              <w:spacing w:before="100" w:after="20"/>
              <w:jc w:val="right"/>
            </w:pPr>
            <w:r>
              <w:rPr>
                <w:rFonts w:ascii="Calibri" w:hAnsi="Calibri"/>
                <w:b w:val="0"/>
                <w:i w:val="0"/>
                <w:color w:val="C09628"/>
                <w:sz w:val="18"/>
              </w:rPr>
              <w:t xml:space="preserve">Aug 2016–Nov 2021</w:t>
            </w:r>
          </w:p>
        </w:tc>
      </w:tr>
    </w:tbl>
    <w:p>
      <w:pPr>
        <w:keepNext/>
        <w:spacing w:before="0" w:after="40"/>
      </w:pPr>
      <w:r>
        <w:rPr>
          <w:rFonts w:ascii="Calibri" w:hAnsi="Calibri"/>
          <w:b w:val="0"/>
          <w:i/>
          <w:color w:val="555555"/>
          <w:sz w:val="17"/>
        </w:rPr>
        <w:t xml:space="preserve">New York, NY</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operational, accounting, governance, and program infrastructure for an international nonprofit serving children and families in Haiti.</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Designed operational, growth, and performance-improvement strategies for large organizations across financial services, media, and mission-driven sectors.</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Served as operating strategist for a $200M national banking-development initiative, aligning financial structure, implementation planning, and stakeholder priorities.</w:t>
      </w:r>
    </w:p>
    <w:tbl>
      <w:tblPr>
        <w:tblW w:type="auto" w:w="0"/>
        <w:tblLook w:firstColumn="1" w:firstRow="1" w:lastColumn="0" w:lastRow="0" w:noHBand="0" w:noVBand="1" w:val="04A0"/>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84"/>
        <w:gridCol w:w="5184"/>
      </w:tblGrid>
      <w:tr>
        <w:tc>
          <w:tcPr>
            <w:tcW w:type="dxa" w:w="5184"/>
          </w:tcPr>
          <w:p>
            <w:pPr>
              <w:keepNext/>
              <w:spacing w:before="100" w:after="20"/>
            </w:pPr>
            <w:r>
              <w:rPr>
                <w:rFonts w:ascii="Calibri" w:hAnsi="Calibri"/>
                <w:b/>
                <w:i w:val="0"/>
                <w:color w:val="1C1C1C"/>
                <w:sz w:val="19"/>
              </w:rPr>
              <w:t xml:space="preserve">FITNESS COLLECTIVE INC  |  Co-Founder and Chief Operating Officer</w:t>
            </w:r>
          </w:p>
        </w:tc>
        <w:tc>
          <w:tcPr>
            <w:tcW w:type="dxa" w:w="5184"/>
          </w:tcPr>
          <w:p>
            <w:pPr>
              <w:keepNext/>
              <w:spacing w:before="100" w:after="20"/>
              <w:jc w:val="right"/>
            </w:pPr>
            <w:r>
              <w:rPr>
                <w:rFonts w:ascii="Calibri" w:hAnsi="Calibri"/>
                <w:b w:val="0"/>
                <w:i w:val="0"/>
                <w:color w:val="C09628"/>
                <w:sz w:val="18"/>
              </w:rPr>
              <w:t xml:space="preserve">Nov 2004–Feb 2016</w:t>
            </w:r>
          </w:p>
        </w:tc>
      </w:tr>
    </w:tbl>
    <w:p>
      <w:pPr>
        <w:keepNext/>
        <w:spacing w:before="0" w:after="40"/>
      </w:pPr>
      <w:r>
        <w:rPr>
          <w:rFonts w:ascii="Calibri" w:hAnsi="Calibri"/>
          <w:b w:val="0"/>
          <w:i/>
          <w:color w:val="555555"/>
          <w:sz w:val="17"/>
        </w:rPr>
        <w:t xml:space="preserve">New York, NY and Washington, DC</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Grew a multi-location health and wellness company from a $5,000 investment to $1M+ in annual revenue, overseeing finance, HR, payroll, technology, customer experience, and expansion.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Delivered 33% year-over-year revenue growth and an 11% margin improvement through disciplined operations and service-line expansion.</w:t>
      </w:r>
    </w:p>
    <w:p>
      <w:pPr>
        <w:spacing w:before="20" w:after="20" w:lineRule="exact" w:line="230"/>
        <w:ind w:left="187" w:hanging="187"/>
      </w:pPr>
      <w:r>
        <w:rPr>
          <w:rFonts w:ascii="Calibri" w:hAnsi="Calibri"/>
          <w:b w:val="0"/>
          <w:i w:val="0"/>
          <w:color w:val="C09628"/>
          <w:sz w:val="18"/>
        </w:rPr>
        <w:t xml:space="preserve">• </w:t>
      </w:r>
      <w:r>
        <w:rPr>
          <w:rFonts w:ascii="Calibri" w:hAnsi="Calibri"/>
          <w:b w:val="0"/>
          <w:i w:val="0"/>
          <w:color w:val="3A3A3A"/>
          <w:sz w:val="18"/>
        </w:rPr>
        <w:t xml:space="preserve">Built and coached a 50+ person team; created a training academy that certified 25 professionals and created a promotion pipeline, and launched community youth-health initiatives.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EDUCATION AND CREDENTIALS</w:t>
      </w:r>
    </w:p>
    <w:p>
      <w:pPr>
        <w:spacing w:before="20" w:after="20" w:lineRule="exact" w:line="240"/>
      </w:pPr>
      <w:r>
        <w:rPr>
          <w:rFonts w:ascii="Calibri" w:hAnsi="Calibri"/>
          <w:b w:val="0"/>
          <w:i w:val="0"/>
          <w:color w:val="3A3A3A"/>
          <w:sz w:val="18"/>
        </w:rPr>
        <w:t xml:space="preserve">Master of Business Administration in General Business Management  |  West Texas A&amp;M University  |  2021</w:t>
      </w:r>
    </w:p>
    <w:p>
      <w:pPr>
        <w:spacing w:before="20" w:after="20" w:lineRule="exact" w:line="240"/>
      </w:pPr>
      <w:r>
        <w:rPr>
          <w:rFonts w:ascii="Calibri" w:hAnsi="Calibri"/>
          <w:b w:val="0"/>
          <w:i w:val="0"/>
          <w:color w:val="3A3A3A"/>
          <w:sz w:val="18"/>
        </w:rPr>
        <w:t xml:space="preserve">Bachelor of Science in Small Business Administration  |  Northern Arizona University  |  2019</w:t>
      </w:r>
    </w:p>
    <w:p>
      <w:pPr>
        <w:spacing w:before="20" w:after="20" w:lineRule="exact" w:line="240"/>
      </w:pPr>
      <w:r>
        <w:rPr>
          <w:rFonts w:ascii="Calibri" w:hAnsi="Calibri"/>
          <w:b w:val="0"/>
          <w:i w:val="0"/>
          <w:color w:val="3A3A3A"/>
          <w:sz w:val="18"/>
        </w:rPr>
        <w:t xml:space="preserve">Previously held FINRA Series 7 and Series 63 and Life, Accident and Health Insurance licenses</w:t>
      </w:r>
    </w:p>
    <w:p>
      <w:pPr>
        <w:keepNext/>
        <w:spacing w:before="120" w:after="40"/>
        <w:pBdr>
          <w:bottom w:val="single" w:sz="8" w:space="1" w:color="C09628"/>
        </w:pBdr>
      </w:pPr>
    </w:p>
    <w:p>
      <w:pPr>
        <w:keepNext/>
        <w:spacing w:before="0" w:after="60"/>
        <w:ind w:left="0"/>
      </w:pPr>
      <w:r>
        <w:rPr>
          <w:rFonts w:ascii="Calibri" w:hAnsi="Calibri"/>
          <w:b/>
          <w:i w:val="0"/>
          <w:color w:val="C09628"/>
          <w:sz w:val="19"/>
        </w:rPr>
        <w:t xml:space="preserve">TECHNOLOGY</w:t>
      </w:r>
    </w:p>
    <w:p>
      <w:pPr>
        <w:spacing w:before="20" w:after="40"/>
      </w:pPr>
      <w:r>
        <w:rPr>
          <w:rFonts w:ascii="Calibri" w:hAnsi="Calibri"/>
          <w:b w:val="0"/>
          <w:i w:val="0"/>
          <w:color w:val="3A3A3A"/>
          <w:sz w:val="18"/>
        </w:rPr>
        <w:t xml:space="preserve">Salesforce  •  Zoho CRM  •  Looker  •  SQL  •  ERP and workflow systems  •  Microsoft Excel and PowerPoint  •  KPI dashboards and performance reporting</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