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1C1C1C"/>
          <w:sz w:val="48"/>
        </w:rPr>
        <w:t xml:space="preserve">CLAVEL M. LAZARRE</w:t>
      </w:r>
      <w:r>
        <w:rPr>
          <w:rFonts w:ascii="Calibri" w:hAnsi="Calibri"/>
          <w:b w:val="0"/>
          <w:i w:val="0"/>
          <w:color w:val="C09628"/>
          <w:sz w:val="26"/>
        </w:rPr>
        <w:t xml:space="preserve">,  MBA</w:t>
      </w:r>
    </w:p>
    <w:p>
      <w:pPr>
        <w:spacing w:before="20" w:after="40"/>
        <w:jc w:val="center"/>
      </w:pPr>
      <w:r>
        <w:rPr>
          <w:rFonts w:ascii="Calibri" w:hAnsi="Calibri"/>
          <w:b w:val="0"/>
          <w:i w:val="0"/>
          <w:color w:val="C09628"/>
          <w:sz w:val="17"/>
        </w:rPr>
        <w:t xml:space="preserve">NONPROFIT FINANCE  ·  GOVERNMENT CONTRACT COMPLIANCE  ·  AUDIT &amp; CONTROLS  ·  IT &amp; FACILITIES</w:t>
      </w:r>
    </w:p>
    <w:p>
      <w:pPr>
        <w:spacing w:before="20" w:after="80"/>
        <w:jc w:val="center"/>
      </w:pPr>
      <w:r>
        <w:rPr>
          <w:rFonts w:ascii="Calibri" w:hAnsi="Calibri"/>
          <w:b w:val="0"/>
          <w:i w:val="0"/>
          <w:color w:val="555555"/>
          <w:sz w:val="18"/>
        </w:rPr>
        <w:t xml:space="preserve">Brooklyn, NY  |  347-607-8164  |  lazarreclavel3@gmail.com</w:t>
      </w:r>
    </w:p>
    <w:p>
      <w:pPr>
        <w:spacing w:before="0" w:after="120"/>
        <w:pBdr>
          <w:bottom w:val="single" w:sz="8" w:space="1" w:color="C09628"/>
        </w:pBdr>
      </w:pP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EXECUTIVE PROFILE</w:t>
      </w:r>
    </w:p>
    <w:p>
      <w:pPr>
        <w:spacing w:before="40" w:after="80" w:lineRule="exact" w:line="250"/>
      </w:pPr>
      <w:r>
        <w:rPr>
          <w:rFonts w:ascii="Calibri" w:hAnsi="Calibri"/>
          <w:b w:val="0"/>
          <w:i w:val="0"/>
          <w:color w:val="3A3A3A"/>
          <w:sz w:val="19"/>
        </w:rPr>
        <w:t xml:space="preserve">Nonprofit finance executive with deep experience in government-funded human services, bringing hands-on leadership of budgeting, forecasting, cash management, audit readiness, and internal controls. Directed financial controls, billing, and compliance for New York City agency contracts (NYCHA, Department of Homeless Services) and led a 140-person, multi-program social-services division with full P&amp;L accountability. Reversed a $1M operating deficit into a 13% surplus and designed fund-accounting and grant-compliance frameworks under GAAP and Uniform Guidance. Partners closely with the CEO and Board Finance and Audit Committees, and modernizes ERP, IT, and operating systems to give leadership clear, timely financial reporting.</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SELECTED FINANCIAL IMPACT</w:t>
      </w:r>
    </w:p>
    <w:tbl>
      <w:tblPr>
        <w:tblW w:type="auto" w:w="0"/>
        <w:tblLook w:firstColumn="1" w:firstRow="1" w:lastColumn="0" w:lastRow="0" w:noHBand="0" w:noVBand="1" w:val="04A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592"/>
        <w:gridCol w:w="2592"/>
        <w:gridCol w:w="2592"/>
        <w:gridCol w:w="2592"/>
      </w:tblGrid>
      <w:tr>
        <w:tc>
          <w:tcPr>
            <w:tcW w:type="dxa" w:w="2592"/>
            <w:shd w:val="clear" w:color="auto" w:fill="C09628"/>
            <w:vAlign w:val="center"/>
          </w:tcPr>
          <w:p>
            <w:pPr>
              <w:spacing w:before="100" w:after="40"/>
              <w:jc w:val="center"/>
            </w:pPr>
            <w:r>
              <w:rPr>
                <w:rFonts w:ascii="Calibri" w:hAnsi="Calibri"/>
                <w:b/>
                <w:i w:val="0"/>
                <w:color w:val="FFFFFF"/>
                <w:sz w:val="32"/>
              </w:rPr>
              <w:t xml:space="preserve">$1M → 13%</w:t>
            </w:r>
          </w:p>
        </w:tc>
        <w:tc>
          <w:tcPr>
            <w:tcW w:type="dxa" w:w="2592"/>
            <w:shd w:val="clear" w:color="auto" w:fill="C09628"/>
            <w:vAlign w:val="center"/>
          </w:tcPr>
          <w:p>
            <w:pPr>
              <w:spacing w:before="100" w:after="40"/>
              <w:jc w:val="center"/>
            </w:pPr>
            <w:r>
              <w:rPr>
                <w:rFonts w:ascii="Calibri" w:hAnsi="Calibri"/>
                <w:b/>
                <w:i w:val="0"/>
                <w:color w:val="FFFFFF"/>
                <w:sz w:val="32"/>
              </w:rPr>
              <w:t xml:space="preserve">$1.5M+</w:t>
            </w:r>
          </w:p>
        </w:tc>
        <w:tc>
          <w:tcPr>
            <w:tcW w:type="dxa" w:w="2592"/>
            <w:shd w:val="clear" w:color="auto" w:fill="C09628"/>
            <w:vAlign w:val="center"/>
          </w:tcPr>
          <w:p>
            <w:pPr>
              <w:spacing w:before="100" w:after="40"/>
              <w:jc w:val="center"/>
            </w:pPr>
            <w:r>
              <w:rPr>
                <w:rFonts w:ascii="Calibri" w:hAnsi="Calibri"/>
                <w:b/>
                <w:i w:val="0"/>
                <w:color w:val="FFFFFF"/>
                <w:sz w:val="32"/>
              </w:rPr>
              <w:t xml:space="preserve">$10M+</w:t>
            </w:r>
          </w:p>
        </w:tc>
        <w:tc>
          <w:tcPr>
            <w:tcW w:type="dxa" w:w="2592"/>
            <w:shd w:val="clear" w:color="auto" w:fill="C09628"/>
            <w:vAlign w:val="center"/>
          </w:tcPr>
          <w:p>
            <w:pPr>
              <w:spacing w:before="100" w:after="40"/>
              <w:jc w:val="center"/>
            </w:pPr>
            <w:r>
              <w:rPr>
                <w:rFonts w:ascii="Calibri" w:hAnsi="Calibri"/>
                <w:b/>
                <w:i w:val="0"/>
                <w:color w:val="FFFFFF"/>
                <w:sz w:val="32"/>
              </w:rPr>
              <w:t xml:space="preserve">$200M</w:t>
            </w:r>
          </w:p>
        </w:tc>
      </w:tr>
      <w:tr>
        <w:tc>
          <w:tcPr>
            <w:tcW w:type="dxa" w:w="2592"/>
            <w:shd w:val="clear" w:color="auto" w:fill="1C1C1C"/>
            <w:vAlign w:val="center"/>
          </w:tcPr>
          <w:p>
            <w:pPr>
              <w:spacing w:before="60" w:after="100"/>
              <w:jc w:val="center"/>
            </w:pPr>
            <w:r>
              <w:rPr>
                <w:rFonts w:ascii="Calibri" w:hAnsi="Calibri"/>
                <w:b w:val="0"/>
                <w:i w:val="0"/>
                <w:color w:val="FFFFFF"/>
                <w:sz w:val="15"/>
              </w:rPr>
              <w:t xml:space="preserve">Deficit reversed to surplus</w:t>
            </w:r>
          </w:p>
        </w:tc>
        <w:tc>
          <w:tcPr>
            <w:tcW w:type="dxa" w:w="2592"/>
            <w:shd w:val="clear" w:color="auto" w:fill="1C1C1C"/>
            <w:vAlign w:val="center"/>
          </w:tcPr>
          <w:p>
            <w:pPr>
              <w:spacing w:before="60" w:after="100"/>
              <w:jc w:val="center"/>
            </w:pPr>
            <w:r>
              <w:rPr>
                <w:rFonts w:ascii="Calibri" w:hAnsi="Calibri"/>
                <w:b w:val="0"/>
                <w:i w:val="0"/>
                <w:color w:val="FFFFFF"/>
                <w:sz w:val="15"/>
              </w:rPr>
              <w:t xml:space="preserve">Tax savings recovered</w:t>
            </w:r>
          </w:p>
        </w:tc>
        <w:tc>
          <w:tcPr>
            <w:tcW w:type="dxa" w:w="2592"/>
            <w:shd w:val="clear" w:color="auto" w:fill="1C1C1C"/>
            <w:vAlign w:val="center"/>
          </w:tcPr>
          <w:p>
            <w:pPr>
              <w:spacing w:before="60" w:after="100"/>
              <w:jc w:val="center"/>
            </w:pPr>
            <w:r>
              <w:rPr>
                <w:rFonts w:ascii="Calibri" w:hAnsi="Calibri"/>
                <w:b w:val="0"/>
                <w:i w:val="0"/>
                <w:color w:val="FFFFFF"/>
                <w:sz w:val="15"/>
              </w:rPr>
              <w:t xml:space="preserve">New contracts structured</w:t>
            </w:r>
          </w:p>
        </w:tc>
        <w:tc>
          <w:tcPr>
            <w:tcW w:type="dxa" w:w="2592"/>
            <w:shd w:val="clear" w:color="auto" w:fill="1C1C1C"/>
            <w:vAlign w:val="center"/>
          </w:tcPr>
          <w:p>
            <w:pPr>
              <w:spacing w:before="60" w:after="100"/>
              <w:jc w:val="center"/>
            </w:pPr>
            <w:r>
              <w:rPr>
                <w:rFonts w:ascii="Calibri" w:hAnsi="Calibri"/>
                <w:b w:val="0"/>
                <w:i w:val="0"/>
                <w:color w:val="FFFFFF"/>
                <w:sz w:val="15"/>
              </w:rPr>
              <w:t xml:space="preserve">Banking initiative structured</w:t>
            </w:r>
          </w:p>
        </w:tc>
      </w:tr>
    </w:tbl>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CORE LEADERSHIP CAPABILITIES</w:t>
      </w:r>
    </w:p>
    <w:p>
      <w:pPr>
        <w:spacing w:before="40" w:after="80" w:lineRule="exact" w:line="240"/>
        <w:jc w:val="center"/>
      </w:pPr>
      <w:r>
        <w:rPr>
          <w:rFonts w:ascii="Calibri" w:hAnsi="Calibri"/>
          <w:b w:val="0"/>
          <w:i w:val="0"/>
          <w:color w:val="3A3A3A"/>
          <w:sz w:val="17"/>
        </w:rPr>
        <w:t xml:space="preserve">Nonprofit &amp; Fund Accounting  •  Government &amp; Private Grant Compliance  •  Budgeting &amp; Forecasting  •  Cash &amp; Banking Management  •  Audit &amp; Tax Filing Oversight  •  Internal Controls  •  Board Finance &amp; Audit Committee Support  •  Financial Reporting to Funders  •  IT &amp; ERP Systems  •  Facilities &amp; Vendor Oversight  •  Turnaround &amp; Cost Restructuring  •  Team Leadership &amp; Development</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PROFESSIONAL EXPERIENCE</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84"/>
        <w:gridCol w:w="5184"/>
      </w:tblGrid>
      <w:tr>
        <w:tc>
          <w:tcPr>
            <w:tcW w:type="dxa" w:w="5184"/>
          </w:tcPr>
          <w:p>
            <w:pPr>
              <w:keepNext/>
              <w:spacing w:before="100" w:after="20"/>
            </w:pPr>
            <w:r>
              <w:rPr>
                <w:rFonts w:ascii="Calibri" w:hAnsi="Calibri"/>
                <w:b/>
                <w:i w:val="0"/>
                <w:color w:val="1C1C1C"/>
                <w:sz w:val="19"/>
              </w:rPr>
              <w:t xml:space="preserve">MAROON STRATEGIST LLC  |  Chief Financial Officer (Advisory)</w:t>
            </w:r>
          </w:p>
        </w:tc>
        <w:tc>
          <w:tcPr>
            <w:tcW w:type="dxa" w:w="5184"/>
          </w:tcPr>
          <w:p>
            <w:pPr>
              <w:keepNext/>
              <w:spacing w:before="100" w:after="20"/>
              <w:jc w:val="right"/>
            </w:pPr>
            <w:r>
              <w:rPr>
                <w:rFonts w:ascii="Calibri" w:hAnsi="Calibri"/>
                <w:b w:val="0"/>
                <w:i w:val="0"/>
                <w:color w:val="C09628"/>
                <w:sz w:val="18"/>
              </w:rPr>
              <w:t xml:space="preserve">2025–Present</w:t>
            </w:r>
          </w:p>
        </w:tc>
      </w:tr>
    </w:tbl>
    <w:p>
      <w:pPr>
        <w:keepNext/>
        <w:spacing w:before="0" w:after="40"/>
      </w:pPr>
      <w:r>
        <w:rPr>
          <w:rFonts w:ascii="Calibri" w:hAnsi="Calibri"/>
          <w:b w:val="0"/>
          <w:i/>
          <w:color w:val="555555"/>
          <w:sz w:val="17"/>
        </w:rPr>
        <w:t xml:space="preserve">New York, NY</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Direct audit readiness and external audit processes; ensure GAAP and Uniform Guidance compliance; design internal controls and fund-accounting frameworks.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Lead financial planning, budgeting, treasury, liquidity management, and cash-flow forecasting for client organizations across nonprofit, private, education, and public-sector settings.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Execute financial turnarounds, forensic accounting, historical clean-up, and audit remediation for organizations with reporting deficiencies.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Identified and recovered $1.5M+ in tax savings through detailed financial analysis and correction of reporting deficiencies.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Spearhead liquidity and working-capital strategy, including covenant monitoring, short-term financing analysis, and stress testing; support capital allocation through scenario modeling.</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Structured the financial framework for a NYPA Clean Energy Workforce Program, aligning public funding, compliance, and performance metrics.</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84"/>
        <w:gridCol w:w="5184"/>
      </w:tblGrid>
      <w:tr>
        <w:tc>
          <w:tcPr>
            <w:tcW w:type="dxa" w:w="5184"/>
          </w:tcPr>
          <w:p>
            <w:pPr>
              <w:keepNext/>
              <w:spacing w:before="100" w:after="20"/>
            </w:pPr>
            <w:r>
              <w:rPr>
                <w:rFonts w:ascii="Calibri" w:hAnsi="Calibri"/>
                <w:b/>
                <w:i w:val="0"/>
                <w:color w:val="1C1C1C"/>
                <w:sz w:val="19"/>
              </w:rPr>
              <w:t xml:space="preserve">THE OSBORNE ASSOCIATION  |  Vice President, Business Development &amp; Social Ventures</w:t>
            </w:r>
          </w:p>
        </w:tc>
        <w:tc>
          <w:tcPr>
            <w:tcW w:type="dxa" w:w="5184"/>
          </w:tcPr>
          <w:p>
            <w:pPr>
              <w:keepNext/>
              <w:spacing w:before="100" w:after="20"/>
              <w:jc w:val="right"/>
            </w:pPr>
            <w:r>
              <w:rPr>
                <w:rFonts w:ascii="Calibri" w:hAnsi="Calibri"/>
                <w:b w:val="0"/>
                <w:i w:val="0"/>
                <w:color w:val="C09628"/>
                <w:sz w:val="18"/>
              </w:rPr>
              <w:t xml:space="preserve">Jan 2023–May 2025</w:t>
            </w:r>
          </w:p>
        </w:tc>
      </w:tr>
    </w:tbl>
    <w:p>
      <w:pPr>
        <w:keepNext/>
        <w:spacing w:before="0" w:after="40"/>
      </w:pPr>
      <w:r>
        <w:rPr>
          <w:rFonts w:ascii="Calibri" w:hAnsi="Calibri"/>
          <w:b w:val="0"/>
          <w:i/>
          <w:color w:val="555555"/>
          <w:sz w:val="17"/>
        </w:rPr>
        <w:t xml:space="preserve">New York, NY</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Reversed a $1M annual operating deficit and delivered a 13% operating surplus through cost restructuring, financial controls, and revenue optimization.</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Partnered with the CEO and Board on long-range planning, risk management, and organizational growth strategy.</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Held full P&amp;L accountability for an $8M portfolio within a $50M+ nonprofit; led financial and operational oversight of a 140-person, multi-program division.</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Negotiated and structured $10M+ in new government, institutional, and corporate contracts.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Developed revenue-generating social ventures that combined financial sustainability with mission outcomes.</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ADDITIONAL EXECUTIVE EXPERIENCE</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84"/>
        <w:gridCol w:w="5184"/>
      </w:tblGrid>
      <w:tr>
        <w:tc>
          <w:tcPr>
            <w:tcW w:type="dxa" w:w="5184"/>
          </w:tcPr>
          <w:p>
            <w:pPr>
              <w:keepNext/>
              <w:spacing w:before="100" w:after="20"/>
            </w:pPr>
            <w:r>
              <w:rPr>
                <w:rFonts w:ascii="Calibri" w:hAnsi="Calibri"/>
                <w:b/>
                <w:i w:val="0"/>
                <w:color w:val="1C1C1C"/>
                <w:sz w:val="19"/>
              </w:rPr>
              <w:t xml:space="preserve">ALLUEL LOGISTICS  |  Vice President of Operations</w:t>
            </w:r>
          </w:p>
        </w:tc>
        <w:tc>
          <w:tcPr>
            <w:tcW w:type="dxa" w:w="5184"/>
          </w:tcPr>
          <w:p>
            <w:pPr>
              <w:keepNext/>
              <w:spacing w:before="100" w:after="20"/>
              <w:jc w:val="right"/>
            </w:pPr>
            <w:r>
              <w:rPr>
                <w:rFonts w:ascii="Calibri" w:hAnsi="Calibri"/>
                <w:b w:val="0"/>
                <w:i w:val="0"/>
                <w:color w:val="C09628"/>
                <w:sz w:val="18"/>
              </w:rPr>
              <w:t xml:space="preserve">Nov 2021–Aug 2022</w:t>
            </w:r>
          </w:p>
        </w:tc>
      </w:tr>
    </w:tbl>
    <w:p>
      <w:pPr>
        <w:keepNext/>
        <w:spacing w:before="0" w:after="40"/>
      </w:pPr>
      <w:r>
        <w:rPr>
          <w:rFonts w:ascii="Calibri" w:hAnsi="Calibri"/>
          <w:b w:val="0"/>
          <w:i/>
          <w:color w:val="555555"/>
          <w:sz w:val="17"/>
        </w:rPr>
        <w:t xml:space="preserve">New York, NY</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Directed financial controls, billing, and compliance for NYCHA and NYC Department of Homeless Services contracts.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Implemented a redesigned ERP-based warehouse management system, improving processing efficiency 60% and data visibility.</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Selected, implemented, and trained teams on CRM and business systems, including Salesforce, Zoho, Looker, SQL, and ERP platforms.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Renegotiated vendor and logistics agreements, reducing costs 35% and improving margins.</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84"/>
        <w:gridCol w:w="5184"/>
      </w:tblGrid>
      <w:tr>
        <w:tc>
          <w:tcPr>
            <w:tcW w:type="dxa" w:w="5184"/>
          </w:tcPr>
          <w:p>
            <w:pPr>
              <w:keepNext/>
              <w:spacing w:before="100" w:after="20"/>
            </w:pPr>
            <w:r>
              <w:rPr>
                <w:rFonts w:ascii="Calibri" w:hAnsi="Calibri"/>
                <w:b/>
                <w:i w:val="0"/>
                <w:color w:val="1C1C1C"/>
                <w:sz w:val="19"/>
              </w:rPr>
              <w:t xml:space="preserve">MONARK CONSULTING GROUP  |  Fractional CFO and Chief Operating Consultant</w:t>
            </w:r>
          </w:p>
        </w:tc>
        <w:tc>
          <w:tcPr>
            <w:tcW w:type="dxa" w:w="5184"/>
          </w:tcPr>
          <w:p>
            <w:pPr>
              <w:keepNext/>
              <w:spacing w:before="100" w:after="20"/>
              <w:jc w:val="right"/>
            </w:pPr>
            <w:r>
              <w:rPr>
                <w:rFonts w:ascii="Calibri" w:hAnsi="Calibri"/>
                <w:b w:val="0"/>
                <w:i w:val="0"/>
                <w:color w:val="C09628"/>
                <w:sz w:val="18"/>
              </w:rPr>
              <w:t xml:space="preserve">Aug 2016–Nov 2021</w:t>
            </w:r>
          </w:p>
        </w:tc>
      </w:tr>
    </w:tbl>
    <w:p>
      <w:pPr>
        <w:keepNext/>
        <w:spacing w:before="0" w:after="40"/>
      </w:pPr>
      <w:r>
        <w:rPr>
          <w:rFonts w:ascii="Calibri" w:hAnsi="Calibri"/>
          <w:b w:val="0"/>
          <w:i/>
          <w:color w:val="555555"/>
          <w:sz w:val="17"/>
        </w:rPr>
        <w:t xml:space="preserve">New York, NY</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Served as financial architect for a $200M national banking-development initiative, supporting capital planning and financial structuring.</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Developed operational and performance-improvement strategies for $50M+ organizations and major brands.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Built accounting, governance, and operational infrastructure for an international NGO serving children in Haiti.</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84"/>
        <w:gridCol w:w="5184"/>
      </w:tblGrid>
      <w:tr>
        <w:tc>
          <w:tcPr>
            <w:tcW w:type="dxa" w:w="5184"/>
          </w:tcPr>
          <w:p>
            <w:pPr>
              <w:keepNext/>
              <w:spacing w:before="100" w:after="20"/>
            </w:pPr>
            <w:r>
              <w:rPr>
                <w:rFonts w:ascii="Calibri" w:hAnsi="Calibri"/>
                <w:b/>
                <w:i w:val="0"/>
                <w:color w:val="1C1C1C"/>
                <w:sz w:val="19"/>
              </w:rPr>
              <w:t xml:space="preserve">FITNESS COLLECTIVE INC  |  Co-Founder and Chief Operating Officer</w:t>
            </w:r>
          </w:p>
        </w:tc>
        <w:tc>
          <w:tcPr>
            <w:tcW w:type="dxa" w:w="5184"/>
          </w:tcPr>
          <w:p>
            <w:pPr>
              <w:keepNext/>
              <w:spacing w:before="100" w:after="20"/>
              <w:jc w:val="right"/>
            </w:pPr>
            <w:r>
              <w:rPr>
                <w:rFonts w:ascii="Calibri" w:hAnsi="Calibri"/>
                <w:b w:val="0"/>
                <w:i w:val="0"/>
                <w:color w:val="C09628"/>
                <w:sz w:val="18"/>
              </w:rPr>
              <w:t xml:space="preserve">Nov 2004–Feb 2016</w:t>
            </w:r>
          </w:p>
        </w:tc>
      </w:tr>
    </w:tbl>
    <w:p>
      <w:pPr>
        <w:keepNext/>
        <w:spacing w:before="0" w:after="40"/>
      </w:pPr>
      <w:r>
        <w:rPr>
          <w:rFonts w:ascii="Calibri" w:hAnsi="Calibri"/>
          <w:b w:val="0"/>
          <w:i/>
          <w:color w:val="555555"/>
          <w:sz w:val="17"/>
        </w:rPr>
        <w:t xml:space="preserve">New York, NY and Washington, DC</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Founded and scaled a multi-location business from a $5K investment to a $1M enterprise; delivered 33% YoY revenue growth and an 11% margin improvement.</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Built HR, payroll, benefits, and training infrastructure for a 50+ person team.</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EDUCATION AND CREDENTIALS</w:t>
      </w:r>
    </w:p>
    <w:p>
      <w:pPr>
        <w:spacing w:before="20" w:after="20" w:lineRule="exact" w:line="240"/>
      </w:pPr>
      <w:r>
        <w:rPr>
          <w:rFonts w:ascii="Calibri" w:hAnsi="Calibri"/>
          <w:b w:val="0"/>
          <w:i w:val="0"/>
          <w:color w:val="3A3A3A"/>
          <w:sz w:val="18"/>
        </w:rPr>
        <w:t xml:space="preserve">Master of Business Administration in General Business Management  |  West Texas A&amp;M University  |  2021</w:t>
      </w:r>
    </w:p>
    <w:p>
      <w:pPr>
        <w:spacing w:before="20" w:after="20" w:lineRule="exact" w:line="240"/>
      </w:pPr>
      <w:r>
        <w:rPr>
          <w:rFonts w:ascii="Calibri" w:hAnsi="Calibri"/>
          <w:b w:val="0"/>
          <w:i w:val="0"/>
          <w:color w:val="3A3A3A"/>
          <w:sz w:val="18"/>
        </w:rPr>
        <w:t xml:space="preserve">Bachelor of Science in Small Business Administration  |  Northern Arizona University  |  2019</w:t>
      </w:r>
    </w:p>
    <w:p>
      <w:pPr>
        <w:spacing w:before="20" w:after="20" w:lineRule="exact" w:line="240"/>
      </w:pPr>
      <w:r>
        <w:rPr>
          <w:rFonts w:ascii="Calibri" w:hAnsi="Calibri"/>
          <w:b w:val="0"/>
          <w:i w:val="0"/>
          <w:color w:val="3A3A3A"/>
          <w:sz w:val="18"/>
        </w:rPr>
        <w:t xml:space="preserve">Previously held FINRA Series 7 and Series 63 and Life, Accident and Health Insurance licenses</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TECHNOLOGY</w:t>
      </w:r>
    </w:p>
    <w:p>
      <w:pPr>
        <w:spacing w:before="20" w:after="40"/>
      </w:pPr>
      <w:r>
        <w:rPr>
          <w:rFonts w:ascii="Calibri" w:hAnsi="Calibri"/>
          <w:b w:val="0"/>
          <w:i w:val="0"/>
          <w:color w:val="3A3A3A"/>
          <w:sz w:val="18"/>
        </w:rPr>
        <w:t xml:space="preserve">Salesforce  •  Zoho CRM  •  Looker  •  SQL  •  ERP and workflow systems  •  Microsoft Excel and PowerPoint  •  KPI dashboards and financial reporting</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