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OUTSOURCED CFO SERVICES  ·  NONPROFIT CLIENTS  ·  CAPITAL PLANNING  ·  BOARD ADVISORY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Advisory CFO who leads finance for multiple nonprofit and mission-driven clients at once. Through Maroon Strategist, provides FP&amp;A, budgeting, treasury, cash-flow forecasting, audit readiness, internal controls, and fund accounting for organizations across nonprofit, private, education, and public-sector settings. Executes turnarounds and audit remediation, recovered $1.5M+ in client tax savings, and structures funding and capital strategy through scenario modeling. Previously held P&amp;L accountability for an $8M portfolio within a $50M+ nonprofit, reversing a $1M deficit into a 13% surplus. Builds lasting client relationships and represents organizations at public forums.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Outsourced / Fractional CFO Services  •  Multi-Client Engagement Management  •  Financial Policy &amp; Strategy  •  Capital Planning &amp; Risk Management  •  KPI &amp; Ratio Analysis  •  Budgeting &amp; Long-Term Cost Management  •  Cash Flow &amp; Forecasting  •  Audit Coordination  •  Board Presentations  •  Client Relationship Development  •  Nonprofit Accounting  •  Thought Leadership &amp; Public Speaking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Execute financial turnarounds, forensic accounting, historical clean-up, and audit remediation for organizations with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Identified and recovered $1.5M+ in tax savings through detailed financial analysis and correction of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Spearhead liquidity and working-capital strategy, including covenant monitoring, short-term financing analysis, and stress testing; support capital allocation through scenario modeling.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Structured the financial framework for a NYPA Clean Energy Workforce Program, aligning public funding, compliance, and performance metrics.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Represented the organization publicly at panels, stakeholder forums, and NYC Climate Week.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