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MULTI-ENTITY FINANCE  ·  CAPITAL STRATEGY  ·  FP&amp;A  ·  SYSTEMS MODERNIZATION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Strategic finance executive with experience in multi-entity structures, capital strategy, and systems modernization. Leads FP&amp;A, budgeting, forecasting, treasury, and cash management across multi-entity client organizations; directs audit readiness and internal controls; and has served as financial architect for a $200M national banking-development initiative covering capital planning and financial structuring. Built payroll, HR, and benefits infrastructure and implemented ERP systems that improved processing efficiency 60%. Advises CEOs and Boards on long-range planning and builds financial literacy across leadership teams.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Multi-Entity Finance  •  FP&amp;A, Budgeting &amp; Forecasting  •  Capital &amp; Real Estate Strategy Support  •  Debt &amp; Financing Analysis  •  Treasury &amp; Cash Management  •  Audit Readiness &amp; Internal Controls  •  Payroll Integration  •  Finance Systems Modernization  •  CEO &amp; Board Advisory  •  Financial Literacy for Leaders  •  Education Sector  •  Finance Team Leadership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Provide hands-on leadership in multi-entity finance, public funding, capital strategy, and audit remediation.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