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i w:val="0"/>
          <w:color w:val="1C1C1C"/>
          <w:sz w:val="48"/>
        </w:rPr>
        <w:t xml:space="preserve">CLAVEL M. LAZARRE</w:t>
      </w:r>
      <w:r>
        <w:rPr>
          <w:rFonts w:ascii="Calibri" w:hAnsi="Calibri"/>
          <w:b w:val="0"/>
          <w:i w:val="0"/>
          <w:color w:val="C09628"/>
          <w:sz w:val="26"/>
        </w:rPr>
        <w:t xml:space="preserve">,  MBA</w:t>
      </w:r>
    </w:p>
    <w:p>
      <w:pPr>
        <w:spacing w:before="20" w:after="40"/>
        <w:jc w:val="center"/>
      </w:pPr>
      <w:r>
        <w:rPr>
          <w:rFonts w:ascii="Calibri" w:hAnsi="Calibri"/>
          <w:b w:val="0"/>
          <w:i w:val="0"/>
          <w:color w:val="C09628"/>
          <w:sz w:val="17"/>
        </w:rPr>
        <w:t xml:space="preserve">GOVERNMENT CONTRACT FINANCE  ·  GAAP &amp; UNIFORM GUIDANCE  ·  BUDGETING &amp; CASH FLOW  ·  HUMAN SERVICES</w:t>
      </w:r>
    </w:p>
    <w:p>
      <w:pPr>
        <w:spacing w:before="20" w:after="80"/>
        <w:jc w:val="center"/>
      </w:pPr>
      <w:r>
        <w:rPr>
          <w:rFonts w:ascii="Calibri" w:hAnsi="Calibri"/>
          <w:b w:val="0"/>
          <w:i w:val="0"/>
          <w:color w:val="555555"/>
          <w:sz w:val="18"/>
        </w:rPr>
        <w:t xml:space="preserve">Brooklyn, NY  |  347-607-8164  |  lazarreclavel3@gmail.com</w:t>
      </w:r>
    </w:p>
    <w:p>
      <w:pPr>
        <w:spacing w:before="0" w:after="120"/>
        <w:pBdr>
          <w:bottom w:val="single" w:sz="8" w:space="1" w:color="C09628"/>
        </w:pBdr>
      </w:pPr>
    </w:p>
    <w:p>
      <w:pPr>
        <w:keepNext/>
        <w:spacing w:before="120" w:after="40"/>
        <w:pBdr>
          <w:bottom w:val="single" w:sz="8" w:space="1" w:color="C09628"/>
        </w:pBdr>
      </w:pPr>
    </w:p>
    <w:p>
      <w:pPr>
        <w:keepNext/>
        <w:spacing w:before="0" w:after="60"/>
        <w:ind w:left="0"/>
      </w:pPr>
      <w:r>
        <w:rPr>
          <w:rFonts w:ascii="Calibri" w:hAnsi="Calibri"/>
          <w:b/>
          <w:i w:val="0"/>
          <w:color w:val="C09628"/>
          <w:sz w:val="19"/>
        </w:rPr>
        <w:t xml:space="preserve">EXECUTIVE PROFILE</w:t>
      </w:r>
    </w:p>
    <w:p>
      <w:pPr>
        <w:spacing w:before="40" w:after="80" w:lineRule="exact" w:line="250"/>
      </w:pPr>
      <w:r>
        <w:rPr>
          <w:rFonts w:ascii="Calibri" w:hAnsi="Calibri"/>
          <w:b w:val="0"/>
          <w:i w:val="0"/>
          <w:color w:val="3A3A3A"/>
          <w:sz w:val="19"/>
        </w:rPr>
        <w:t xml:space="preserve">Finance executive for mission-driven human-services organizations, with direct experience serving New York City homelessness and housing systems. Directed financial controls, billing, and compliance for NYC Department of Homeless Services and NYCHA contracts, and led finance and operations for a 140-person social-services division within a $50M+ nonprofit. Leads annual budgeting, multi-year planning, forecasting, cash flow, and banking relationships; directs audit readiness under GAAP and Uniform Guidance and designs internal controls and fund-accounting frameworks. Reversed a $1M operating deficit into a 13% surplus and serves as a trusted advisor to the Executive Director and Board Finance and Audit Committee.</w:t>
      </w:r>
    </w:p>
    <w:p>
      <w:pPr>
        <w:keepNext/>
        <w:spacing w:before="120" w:after="40"/>
        <w:pBdr>
          <w:bottom w:val="single" w:sz="8" w:space="1" w:color="C09628"/>
        </w:pBdr>
      </w:pPr>
    </w:p>
    <w:p>
      <w:pPr>
        <w:keepNext/>
        <w:spacing w:before="0" w:after="60"/>
        <w:ind w:left="0"/>
      </w:pPr>
      <w:r>
        <w:rPr>
          <w:rFonts w:ascii="Calibri" w:hAnsi="Calibri"/>
          <w:b/>
          <w:i w:val="0"/>
          <w:color w:val="C09628"/>
          <w:sz w:val="19"/>
        </w:rPr>
        <w:t xml:space="preserve">SELECTED FINANCIAL IMPACT</w:t>
      </w:r>
    </w:p>
    <w:tbl>
      <w:tblPr>
        <w:tblW w:type="auto" w:w="0"/>
        <w:tblLook w:firstColumn="1" w:firstRow="1" w:lastColumn="0" w:lastRow="0" w:noHBand="0" w:noVBand="1" w:val="04A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592"/>
        <w:gridCol w:w="2592"/>
        <w:gridCol w:w="2592"/>
        <w:gridCol w:w="2592"/>
      </w:tblGrid>
      <w:tr>
        <w:tc>
          <w:tcPr>
            <w:tcW w:type="dxa" w:w="2592"/>
            <w:shd w:val="clear" w:color="auto" w:fill="C09628"/>
            <w:vAlign w:val="center"/>
          </w:tcPr>
          <w:p>
            <w:pPr>
              <w:spacing w:before="100" w:after="40"/>
              <w:jc w:val="center"/>
            </w:pPr>
            <w:r>
              <w:rPr>
                <w:rFonts w:ascii="Calibri" w:hAnsi="Calibri"/>
                <w:b/>
                <w:i w:val="0"/>
                <w:color w:val="FFFFFF"/>
                <w:sz w:val="32"/>
              </w:rPr>
              <w:t xml:space="preserve">$1M → 13%</w:t>
            </w:r>
          </w:p>
        </w:tc>
        <w:tc>
          <w:tcPr>
            <w:tcW w:type="dxa" w:w="2592"/>
            <w:shd w:val="clear" w:color="auto" w:fill="C09628"/>
            <w:vAlign w:val="center"/>
          </w:tcPr>
          <w:p>
            <w:pPr>
              <w:spacing w:before="100" w:after="40"/>
              <w:jc w:val="center"/>
            </w:pPr>
            <w:r>
              <w:rPr>
                <w:rFonts w:ascii="Calibri" w:hAnsi="Calibri"/>
                <w:b/>
                <w:i w:val="0"/>
                <w:color w:val="FFFFFF"/>
                <w:sz w:val="32"/>
              </w:rPr>
              <w:t xml:space="preserve">$1.5M+</w:t>
            </w:r>
          </w:p>
        </w:tc>
        <w:tc>
          <w:tcPr>
            <w:tcW w:type="dxa" w:w="2592"/>
            <w:shd w:val="clear" w:color="auto" w:fill="C09628"/>
            <w:vAlign w:val="center"/>
          </w:tcPr>
          <w:p>
            <w:pPr>
              <w:spacing w:before="100" w:after="40"/>
              <w:jc w:val="center"/>
            </w:pPr>
            <w:r>
              <w:rPr>
                <w:rFonts w:ascii="Calibri" w:hAnsi="Calibri"/>
                <w:b/>
                <w:i w:val="0"/>
                <w:color w:val="FFFFFF"/>
                <w:sz w:val="32"/>
              </w:rPr>
              <w:t xml:space="preserve">$10M+</w:t>
            </w:r>
          </w:p>
        </w:tc>
        <w:tc>
          <w:tcPr>
            <w:tcW w:type="dxa" w:w="2592"/>
            <w:shd w:val="clear" w:color="auto" w:fill="C09628"/>
            <w:vAlign w:val="center"/>
          </w:tcPr>
          <w:p>
            <w:pPr>
              <w:spacing w:before="100" w:after="40"/>
              <w:jc w:val="center"/>
            </w:pPr>
            <w:r>
              <w:rPr>
                <w:rFonts w:ascii="Calibri" w:hAnsi="Calibri"/>
                <w:b/>
                <w:i w:val="0"/>
                <w:color w:val="FFFFFF"/>
                <w:sz w:val="32"/>
              </w:rPr>
              <w:t xml:space="preserve">$200M</w:t>
            </w:r>
          </w:p>
        </w:tc>
      </w:tr>
      <w:tr>
        <w:tc>
          <w:tcPr>
            <w:tcW w:type="dxa" w:w="2592"/>
            <w:shd w:val="clear" w:color="auto" w:fill="1C1C1C"/>
            <w:vAlign w:val="center"/>
          </w:tcPr>
          <w:p>
            <w:pPr>
              <w:spacing w:before="60" w:after="100"/>
              <w:jc w:val="center"/>
            </w:pPr>
            <w:r>
              <w:rPr>
                <w:rFonts w:ascii="Calibri" w:hAnsi="Calibri"/>
                <w:b w:val="0"/>
                <w:i w:val="0"/>
                <w:color w:val="FFFFFF"/>
                <w:sz w:val="15"/>
              </w:rPr>
              <w:t xml:space="preserve">Deficit reversed to surplus</w:t>
            </w:r>
          </w:p>
        </w:tc>
        <w:tc>
          <w:tcPr>
            <w:tcW w:type="dxa" w:w="2592"/>
            <w:shd w:val="clear" w:color="auto" w:fill="1C1C1C"/>
            <w:vAlign w:val="center"/>
          </w:tcPr>
          <w:p>
            <w:pPr>
              <w:spacing w:before="60" w:after="100"/>
              <w:jc w:val="center"/>
            </w:pPr>
            <w:r>
              <w:rPr>
                <w:rFonts w:ascii="Calibri" w:hAnsi="Calibri"/>
                <w:b w:val="0"/>
                <w:i w:val="0"/>
                <w:color w:val="FFFFFF"/>
                <w:sz w:val="15"/>
              </w:rPr>
              <w:t xml:space="preserve">Tax savings recovered</w:t>
            </w:r>
          </w:p>
        </w:tc>
        <w:tc>
          <w:tcPr>
            <w:tcW w:type="dxa" w:w="2592"/>
            <w:shd w:val="clear" w:color="auto" w:fill="1C1C1C"/>
            <w:vAlign w:val="center"/>
          </w:tcPr>
          <w:p>
            <w:pPr>
              <w:spacing w:before="60" w:after="100"/>
              <w:jc w:val="center"/>
            </w:pPr>
            <w:r>
              <w:rPr>
                <w:rFonts w:ascii="Calibri" w:hAnsi="Calibri"/>
                <w:b w:val="0"/>
                <w:i w:val="0"/>
                <w:color w:val="FFFFFF"/>
                <w:sz w:val="15"/>
              </w:rPr>
              <w:t xml:space="preserve">New contracts structured</w:t>
            </w:r>
          </w:p>
        </w:tc>
        <w:tc>
          <w:tcPr>
            <w:tcW w:type="dxa" w:w="2592"/>
            <w:shd w:val="clear" w:color="auto" w:fill="1C1C1C"/>
            <w:vAlign w:val="center"/>
          </w:tcPr>
          <w:p>
            <w:pPr>
              <w:spacing w:before="60" w:after="100"/>
              <w:jc w:val="center"/>
            </w:pPr>
            <w:r>
              <w:rPr>
                <w:rFonts w:ascii="Calibri" w:hAnsi="Calibri"/>
                <w:b w:val="0"/>
                <w:i w:val="0"/>
                <w:color w:val="FFFFFF"/>
                <w:sz w:val="15"/>
              </w:rPr>
              <w:t xml:space="preserve">Banking initiative structured</w:t>
            </w:r>
          </w:p>
        </w:tc>
      </w:tr>
    </w:tbl>
    <w:p>
      <w:pPr>
        <w:keepNext/>
        <w:spacing w:before="120" w:after="40"/>
        <w:pBdr>
          <w:bottom w:val="single" w:sz="8" w:space="1" w:color="C09628"/>
        </w:pBdr>
      </w:pPr>
    </w:p>
    <w:p>
      <w:pPr>
        <w:keepNext/>
        <w:spacing w:before="0" w:after="60"/>
        <w:ind w:left="0"/>
      </w:pPr>
      <w:r>
        <w:rPr>
          <w:rFonts w:ascii="Calibri" w:hAnsi="Calibri"/>
          <w:b/>
          <w:i w:val="0"/>
          <w:color w:val="C09628"/>
          <w:sz w:val="19"/>
        </w:rPr>
        <w:t xml:space="preserve">CORE LEADERSHIP CAPABILITIES</w:t>
      </w:r>
    </w:p>
    <w:p>
      <w:pPr>
        <w:spacing w:before="40" w:after="80" w:lineRule="exact" w:line="240"/>
        <w:jc w:val="center"/>
      </w:pPr>
      <w:r>
        <w:rPr>
          <w:rFonts w:ascii="Calibri" w:hAnsi="Calibri"/>
          <w:b w:val="0"/>
          <w:i w:val="0"/>
          <w:color w:val="3A3A3A"/>
          <w:sz w:val="17"/>
        </w:rPr>
        <w:t xml:space="preserve">Government Contract Finance &amp; Claiming  •  Cost Allocation &amp; Indirect Cost Recovery  •  GAAP for Nonprofits  •  Uniform Guidance &amp; Audit Readiness  •  Budgeting &amp; Multi-Year Planning  •  Cash Flow &amp; Banking Relationships  •  Internal Controls  •  Form 990 &amp; Regulatory Filings Oversight  •  Board Finance &amp; Audit Committee  •  Financial Systems &amp; Excel Modeling  •  Supportive Housing &amp; Homeless Services  •  Finance Team Leadership</w:t>
      </w:r>
    </w:p>
    <w:p>
      <w:pPr>
        <w:keepNext/>
        <w:spacing w:before="120" w:after="40"/>
        <w:pBdr>
          <w:bottom w:val="single" w:sz="8" w:space="1" w:color="C09628"/>
        </w:pBdr>
      </w:pPr>
    </w:p>
    <w:p>
      <w:pPr>
        <w:keepNext/>
        <w:spacing w:before="0" w:after="60"/>
        <w:ind w:left="0"/>
      </w:pPr>
      <w:r>
        <w:rPr>
          <w:rFonts w:ascii="Calibri" w:hAnsi="Calibri"/>
          <w:b/>
          <w:i w:val="0"/>
          <w:color w:val="C09628"/>
          <w:sz w:val="19"/>
        </w:rPr>
        <w:t xml:space="preserve">PROFESSIONAL EXPERIENCE</w:t>
      </w:r>
    </w:p>
    <w:tbl>
      <w:tblPr>
        <w:tblW w:type="auto" w:w="0"/>
        <w:tblLook w:firstColumn="1" w:firstRow="1" w:lastColumn="0" w:lastRow="0" w:noHBand="0" w:noVBand="1" w:val="04A0"/>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184"/>
        <w:gridCol w:w="5184"/>
      </w:tblGrid>
      <w:tr>
        <w:tc>
          <w:tcPr>
            <w:tcW w:type="dxa" w:w="5184"/>
          </w:tcPr>
          <w:p>
            <w:pPr>
              <w:keepNext/>
              <w:spacing w:before="100" w:after="20"/>
            </w:pPr>
            <w:r>
              <w:rPr>
                <w:rFonts w:ascii="Calibri" w:hAnsi="Calibri"/>
                <w:b/>
                <w:i w:val="0"/>
                <w:color w:val="1C1C1C"/>
                <w:sz w:val="19"/>
              </w:rPr>
              <w:t xml:space="preserve">MAROON STRATEGIST LLC  |  Chief Financial Officer (Advisory)</w:t>
            </w:r>
          </w:p>
        </w:tc>
        <w:tc>
          <w:tcPr>
            <w:tcW w:type="dxa" w:w="5184"/>
          </w:tcPr>
          <w:p>
            <w:pPr>
              <w:keepNext/>
              <w:spacing w:before="100" w:after="20"/>
              <w:jc w:val="right"/>
            </w:pPr>
            <w:r>
              <w:rPr>
                <w:rFonts w:ascii="Calibri" w:hAnsi="Calibri"/>
                <w:b w:val="0"/>
                <w:i w:val="0"/>
                <w:color w:val="C09628"/>
                <w:sz w:val="18"/>
              </w:rPr>
              <w:t xml:space="preserve">2025–Present</w:t>
            </w:r>
          </w:p>
        </w:tc>
      </w:tr>
    </w:tbl>
    <w:p>
      <w:pPr>
        <w:keepNext/>
        <w:spacing w:before="0" w:after="40"/>
      </w:pPr>
      <w:r>
        <w:rPr>
          <w:rFonts w:ascii="Calibri" w:hAnsi="Calibri"/>
          <w:b w:val="0"/>
          <w:i/>
          <w:color w:val="555555"/>
          <w:sz w:val="17"/>
        </w:rPr>
        <w:t xml:space="preserve">New York, NY</w:t>
      </w:r>
    </w:p>
    <w:p>
      <w:pPr>
        <w:spacing w:before="20" w:after="20" w:lineRule="exact" w:line="230"/>
        <w:ind w:left="187" w:hanging="187"/>
      </w:pPr>
      <w:r>
        <w:rPr>
          <w:rFonts w:ascii="Calibri" w:hAnsi="Calibri"/>
          <w:b w:val="0"/>
          <w:i w:val="0"/>
          <w:color w:val="C09628"/>
          <w:sz w:val="18"/>
        </w:rPr>
        <w:t xml:space="preserve">• </w:t>
      </w:r>
      <w:r>
        <w:rPr>
          <w:rFonts w:ascii="Calibri" w:hAnsi="Calibri"/>
          <w:b w:val="0"/>
          <w:i w:val="0"/>
          <w:color w:val="3A3A3A"/>
          <w:sz w:val="18"/>
        </w:rPr>
        <w:t xml:space="preserve">Direct audit readiness and external audit processes; ensure GAAP and Uniform Guidance compliance; design internal controls and fund-accounting frameworks.</w:t>
      </w:r>
    </w:p>
    <w:p>
      <w:pPr>
        <w:spacing w:before="20" w:after="20" w:lineRule="exact" w:line="230"/>
        <w:ind w:left="187" w:hanging="187"/>
      </w:pPr>
      <w:r>
        <w:rPr>
          <w:rFonts w:ascii="Calibri" w:hAnsi="Calibri"/>
          <w:b w:val="0"/>
          <w:i w:val="0"/>
          <w:color w:val="C09628"/>
          <w:sz w:val="18"/>
        </w:rPr>
        <w:t xml:space="preserve">• </w:t>
      </w:r>
      <w:r>
        <w:rPr>
          <w:rFonts w:ascii="Calibri" w:hAnsi="Calibri"/>
          <w:b w:val="0"/>
          <w:i w:val="0"/>
          <w:color w:val="3A3A3A"/>
          <w:sz w:val="18"/>
        </w:rPr>
        <w:t xml:space="preserve">Lead financial planning, budgeting, treasury, liquidity management, and cash-flow forecasting for client organizations across nonprofit, private, education, and public-sector settings.</w:t>
      </w:r>
    </w:p>
    <w:p>
      <w:pPr>
        <w:spacing w:before="20" w:after="20" w:lineRule="exact" w:line="230"/>
        <w:ind w:left="187" w:hanging="187"/>
      </w:pPr>
      <w:r>
        <w:rPr>
          <w:rFonts w:ascii="Calibri" w:hAnsi="Calibri"/>
          <w:b w:val="0"/>
          <w:i w:val="0"/>
          <w:color w:val="C09628"/>
          <w:sz w:val="18"/>
        </w:rPr>
        <w:t xml:space="preserve">• </w:t>
      </w:r>
      <w:r>
        <w:rPr>
          <w:rFonts w:ascii="Calibri" w:hAnsi="Calibri"/>
          <w:b w:val="0"/>
          <w:i w:val="0"/>
          <w:color w:val="3A3A3A"/>
          <w:sz w:val="18"/>
        </w:rPr>
        <w:t xml:space="preserve">Spearhead liquidity and working-capital strategy, including covenant monitoring, short-term financing analysis, and stress testing; support capital allocation through scenario modeling.</w:t>
      </w:r>
    </w:p>
    <w:p>
      <w:pPr>
        <w:spacing w:before="20" w:after="20" w:lineRule="exact" w:line="230"/>
        <w:ind w:left="187" w:hanging="187"/>
      </w:pPr>
      <w:r>
        <w:rPr>
          <w:rFonts w:ascii="Calibri" w:hAnsi="Calibri"/>
          <w:b w:val="0"/>
          <w:i w:val="0"/>
          <w:color w:val="C09628"/>
          <w:sz w:val="18"/>
        </w:rPr>
        <w:t xml:space="preserve">• </w:t>
      </w:r>
      <w:r>
        <w:rPr>
          <w:rFonts w:ascii="Calibri" w:hAnsi="Calibri"/>
          <w:b w:val="0"/>
          <w:i w:val="0"/>
          <w:color w:val="3A3A3A"/>
          <w:sz w:val="18"/>
        </w:rPr>
        <w:t xml:space="preserve">Execute financial turnarounds, forensic accounting, historical clean-up, and audit remediation for organizations with reporting deficiencies.</w:t>
      </w:r>
    </w:p>
    <w:p>
      <w:pPr>
        <w:spacing w:before="20" w:after="20" w:lineRule="exact" w:line="230"/>
        <w:ind w:left="187" w:hanging="187"/>
      </w:pPr>
      <w:r>
        <w:rPr>
          <w:rFonts w:ascii="Calibri" w:hAnsi="Calibri"/>
          <w:b w:val="0"/>
          <w:i w:val="0"/>
          <w:color w:val="C09628"/>
          <w:sz w:val="18"/>
        </w:rPr>
        <w:t xml:space="preserve">• </w:t>
      </w:r>
      <w:r>
        <w:rPr>
          <w:rFonts w:ascii="Calibri" w:hAnsi="Calibri"/>
          <w:b w:val="0"/>
          <w:i w:val="0"/>
          <w:color w:val="3A3A3A"/>
          <w:sz w:val="18"/>
        </w:rPr>
        <w:t xml:space="preserve">Identified and recovered $1.5M+ in tax savings through detailed financial analysis and correction of reporting deficiencies.</w:t>
      </w:r>
    </w:p>
    <w:p>
      <w:pPr>
        <w:spacing w:before="20" w:after="20" w:lineRule="exact" w:line="230"/>
        <w:ind w:left="187" w:hanging="187"/>
      </w:pPr>
      <w:r>
        <w:rPr>
          <w:rFonts w:ascii="Calibri" w:hAnsi="Calibri"/>
          <w:b w:val="0"/>
          <w:i w:val="0"/>
          <w:color w:val="C09628"/>
          <w:sz w:val="18"/>
        </w:rPr>
        <w:t xml:space="preserve">• </w:t>
      </w:r>
      <w:r>
        <w:rPr>
          <w:rFonts w:ascii="Calibri" w:hAnsi="Calibri"/>
          <w:b w:val="0"/>
          <w:i w:val="0"/>
          <w:color w:val="3A3A3A"/>
          <w:sz w:val="18"/>
        </w:rPr>
        <w:t xml:space="preserve">Structured the financial framework for a NYPA Clean Energy Workforce Program, aligning public funding, compliance, and performance metrics.</w:t>
      </w:r>
    </w:p>
    <w:tbl>
      <w:tblPr>
        <w:tblW w:type="auto" w:w="0"/>
        <w:tblLook w:firstColumn="1" w:firstRow="1" w:lastColumn="0" w:lastRow="0" w:noHBand="0" w:noVBand="1" w:val="04A0"/>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184"/>
        <w:gridCol w:w="5184"/>
      </w:tblGrid>
      <w:tr>
        <w:tc>
          <w:tcPr>
            <w:tcW w:type="dxa" w:w="5184"/>
          </w:tcPr>
          <w:p>
            <w:pPr>
              <w:keepNext/>
              <w:spacing w:before="100" w:after="20"/>
            </w:pPr>
            <w:r>
              <w:rPr>
                <w:rFonts w:ascii="Calibri" w:hAnsi="Calibri"/>
                <w:b/>
                <w:i w:val="0"/>
                <w:color w:val="1C1C1C"/>
                <w:sz w:val="19"/>
              </w:rPr>
              <w:t xml:space="preserve">THE OSBORNE ASSOCIATION  |  Vice President, Business Development &amp; Social Ventures</w:t>
            </w:r>
          </w:p>
        </w:tc>
        <w:tc>
          <w:tcPr>
            <w:tcW w:type="dxa" w:w="5184"/>
          </w:tcPr>
          <w:p>
            <w:pPr>
              <w:keepNext/>
              <w:spacing w:before="100" w:after="20"/>
              <w:jc w:val="right"/>
            </w:pPr>
            <w:r>
              <w:rPr>
                <w:rFonts w:ascii="Calibri" w:hAnsi="Calibri"/>
                <w:b w:val="0"/>
                <w:i w:val="0"/>
                <w:color w:val="C09628"/>
                <w:sz w:val="18"/>
              </w:rPr>
              <w:t xml:space="preserve">Jan 2023–May 2025</w:t>
            </w:r>
          </w:p>
        </w:tc>
      </w:tr>
    </w:tbl>
    <w:p>
      <w:pPr>
        <w:keepNext/>
        <w:spacing w:before="0" w:after="40"/>
      </w:pPr>
      <w:r>
        <w:rPr>
          <w:rFonts w:ascii="Calibri" w:hAnsi="Calibri"/>
          <w:b w:val="0"/>
          <w:i/>
          <w:color w:val="555555"/>
          <w:sz w:val="17"/>
        </w:rPr>
        <w:t xml:space="preserve">New York, NY</w:t>
      </w:r>
    </w:p>
    <w:p>
      <w:pPr>
        <w:spacing w:before="20" w:after="20" w:lineRule="exact" w:line="230"/>
        <w:ind w:left="187" w:hanging="187"/>
      </w:pPr>
      <w:r>
        <w:rPr>
          <w:rFonts w:ascii="Calibri" w:hAnsi="Calibri"/>
          <w:b w:val="0"/>
          <w:i w:val="0"/>
          <w:color w:val="C09628"/>
          <w:sz w:val="18"/>
        </w:rPr>
        <w:t xml:space="preserve">• </w:t>
      </w:r>
      <w:r>
        <w:rPr>
          <w:rFonts w:ascii="Calibri" w:hAnsi="Calibri"/>
          <w:b w:val="0"/>
          <w:i w:val="0"/>
          <w:color w:val="3A3A3A"/>
          <w:sz w:val="18"/>
        </w:rPr>
        <w:t xml:space="preserve">Reversed a $1M annual operating deficit and delivered a 13% operating surplus through cost restructuring, financial controls, and revenue optimization.</w:t>
      </w:r>
    </w:p>
    <w:p>
      <w:pPr>
        <w:spacing w:before="20" w:after="20" w:lineRule="exact" w:line="230"/>
        <w:ind w:left="187" w:hanging="187"/>
      </w:pPr>
      <w:r>
        <w:rPr>
          <w:rFonts w:ascii="Calibri" w:hAnsi="Calibri"/>
          <w:b w:val="0"/>
          <w:i w:val="0"/>
          <w:color w:val="C09628"/>
          <w:sz w:val="18"/>
        </w:rPr>
        <w:t xml:space="preserve">• </w:t>
      </w:r>
      <w:r>
        <w:rPr>
          <w:rFonts w:ascii="Calibri" w:hAnsi="Calibri"/>
          <w:b w:val="0"/>
          <w:i w:val="0"/>
          <w:color w:val="3A3A3A"/>
          <w:sz w:val="18"/>
        </w:rPr>
        <w:t xml:space="preserve">Partnered with the CEO and Board on long-range planning, risk management, and organizational growth strategy.</w:t>
      </w:r>
    </w:p>
    <w:p>
      <w:pPr>
        <w:spacing w:before="20" w:after="20" w:lineRule="exact" w:line="230"/>
        <w:ind w:left="187" w:hanging="187"/>
      </w:pPr>
      <w:r>
        <w:rPr>
          <w:rFonts w:ascii="Calibri" w:hAnsi="Calibri"/>
          <w:b w:val="0"/>
          <w:i w:val="0"/>
          <w:color w:val="C09628"/>
          <w:sz w:val="18"/>
        </w:rPr>
        <w:t xml:space="preserve">• </w:t>
      </w:r>
      <w:r>
        <w:rPr>
          <w:rFonts w:ascii="Calibri" w:hAnsi="Calibri"/>
          <w:b w:val="0"/>
          <w:i w:val="0"/>
          <w:color w:val="3A3A3A"/>
          <w:sz w:val="18"/>
        </w:rPr>
        <w:t xml:space="preserve">Held full P&amp;L accountability for an $8M portfolio within a $50M+ nonprofit; led financial and operational oversight of a 140-person, multi-program division.</w:t>
      </w:r>
    </w:p>
    <w:p>
      <w:pPr>
        <w:spacing w:before="20" w:after="20" w:lineRule="exact" w:line="230"/>
        <w:ind w:left="187" w:hanging="187"/>
      </w:pPr>
      <w:r>
        <w:rPr>
          <w:rFonts w:ascii="Calibri" w:hAnsi="Calibri"/>
          <w:b w:val="0"/>
          <w:i w:val="0"/>
          <w:color w:val="C09628"/>
          <w:sz w:val="18"/>
        </w:rPr>
        <w:t xml:space="preserve">• </w:t>
      </w:r>
      <w:r>
        <w:rPr>
          <w:rFonts w:ascii="Calibri" w:hAnsi="Calibri"/>
          <w:b w:val="0"/>
          <w:i w:val="0"/>
          <w:color w:val="3A3A3A"/>
          <w:sz w:val="18"/>
        </w:rPr>
        <w:t xml:space="preserve">Negotiated and structured $10M+ in new government, institutional, and corporate contracts.</w:t>
      </w:r>
    </w:p>
    <w:p>
      <w:pPr>
        <w:spacing w:before="20" w:after="20" w:lineRule="exact" w:line="230"/>
        <w:ind w:left="187" w:hanging="187"/>
      </w:pPr>
      <w:r>
        <w:rPr>
          <w:rFonts w:ascii="Calibri" w:hAnsi="Calibri"/>
          <w:b w:val="0"/>
          <w:i w:val="0"/>
          <w:color w:val="C09628"/>
          <w:sz w:val="18"/>
        </w:rPr>
        <w:t xml:space="preserve">• </w:t>
      </w:r>
      <w:r>
        <w:rPr>
          <w:rFonts w:ascii="Calibri" w:hAnsi="Calibri"/>
          <w:b w:val="0"/>
          <w:i w:val="0"/>
          <w:color w:val="3A3A3A"/>
          <w:sz w:val="18"/>
        </w:rPr>
        <w:t xml:space="preserve">Developed revenue-generating social ventures that combined financial sustainability with mission outcomes.</w:t>
      </w:r>
    </w:p>
    <w:p>
      <w:pPr>
        <w:keepNext/>
        <w:spacing w:before="120" w:after="40"/>
        <w:pBdr>
          <w:bottom w:val="single" w:sz="8" w:space="1" w:color="C09628"/>
        </w:pBdr>
      </w:pPr>
    </w:p>
    <w:p>
      <w:pPr>
        <w:keepNext/>
        <w:spacing w:before="0" w:after="60"/>
        <w:ind w:left="0"/>
      </w:pPr>
      <w:r>
        <w:rPr>
          <w:rFonts w:ascii="Calibri" w:hAnsi="Calibri"/>
          <w:b/>
          <w:i w:val="0"/>
          <w:color w:val="C09628"/>
          <w:sz w:val="19"/>
        </w:rPr>
        <w:t xml:space="preserve">ADDITIONAL EXECUTIVE EXPERIENCE</w:t>
      </w:r>
    </w:p>
    <w:tbl>
      <w:tblPr>
        <w:tblW w:type="auto" w:w="0"/>
        <w:tblLook w:firstColumn="1" w:firstRow="1" w:lastColumn="0" w:lastRow="0" w:noHBand="0" w:noVBand="1" w:val="04A0"/>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184"/>
        <w:gridCol w:w="5184"/>
      </w:tblGrid>
      <w:tr>
        <w:tc>
          <w:tcPr>
            <w:tcW w:type="dxa" w:w="5184"/>
          </w:tcPr>
          <w:p>
            <w:pPr>
              <w:keepNext/>
              <w:spacing w:before="100" w:after="20"/>
            </w:pPr>
            <w:r>
              <w:rPr>
                <w:rFonts w:ascii="Calibri" w:hAnsi="Calibri"/>
                <w:b/>
                <w:i w:val="0"/>
                <w:color w:val="1C1C1C"/>
                <w:sz w:val="19"/>
              </w:rPr>
              <w:t xml:space="preserve">ALLUEL LOGISTICS  |  Vice President of Operations</w:t>
            </w:r>
          </w:p>
        </w:tc>
        <w:tc>
          <w:tcPr>
            <w:tcW w:type="dxa" w:w="5184"/>
          </w:tcPr>
          <w:p>
            <w:pPr>
              <w:keepNext/>
              <w:spacing w:before="100" w:after="20"/>
              <w:jc w:val="right"/>
            </w:pPr>
            <w:r>
              <w:rPr>
                <w:rFonts w:ascii="Calibri" w:hAnsi="Calibri"/>
                <w:b w:val="0"/>
                <w:i w:val="0"/>
                <w:color w:val="C09628"/>
                <w:sz w:val="18"/>
              </w:rPr>
              <w:t xml:space="preserve">Nov 2021–Aug 2022</w:t>
            </w:r>
          </w:p>
        </w:tc>
      </w:tr>
    </w:tbl>
    <w:p>
      <w:pPr>
        <w:keepNext/>
        <w:spacing w:before="0" w:after="40"/>
      </w:pPr>
      <w:r>
        <w:rPr>
          <w:rFonts w:ascii="Calibri" w:hAnsi="Calibri"/>
          <w:b w:val="0"/>
          <w:i/>
          <w:color w:val="555555"/>
          <w:sz w:val="17"/>
        </w:rPr>
        <w:t xml:space="preserve">New York, NY</w:t>
      </w:r>
    </w:p>
    <w:p>
      <w:pPr>
        <w:spacing w:before="20" w:after="20" w:lineRule="exact" w:line="230"/>
        <w:ind w:left="187" w:hanging="187"/>
      </w:pPr>
      <w:r>
        <w:rPr>
          <w:rFonts w:ascii="Calibri" w:hAnsi="Calibri"/>
          <w:b w:val="0"/>
          <w:i w:val="0"/>
          <w:color w:val="C09628"/>
          <w:sz w:val="18"/>
        </w:rPr>
        <w:t xml:space="preserve">• </w:t>
      </w:r>
      <w:r>
        <w:rPr>
          <w:rFonts w:ascii="Calibri" w:hAnsi="Calibri"/>
          <w:b w:val="0"/>
          <w:i w:val="0"/>
          <w:color w:val="3A3A3A"/>
          <w:sz w:val="18"/>
        </w:rPr>
        <w:t xml:space="preserve">Directed financial controls, billing, and compliance for NYCHA and NYC Department of Homeless Services contracts.</w:t>
      </w:r>
    </w:p>
    <w:p>
      <w:pPr>
        <w:spacing w:before="20" w:after="20" w:lineRule="exact" w:line="230"/>
        <w:ind w:left="187" w:hanging="187"/>
      </w:pPr>
      <w:r>
        <w:rPr>
          <w:rFonts w:ascii="Calibri" w:hAnsi="Calibri"/>
          <w:b w:val="0"/>
          <w:i w:val="0"/>
          <w:color w:val="C09628"/>
          <w:sz w:val="18"/>
        </w:rPr>
        <w:t xml:space="preserve">• </w:t>
      </w:r>
      <w:r>
        <w:rPr>
          <w:rFonts w:ascii="Calibri" w:hAnsi="Calibri"/>
          <w:b w:val="0"/>
          <w:i w:val="0"/>
          <w:color w:val="3A3A3A"/>
          <w:sz w:val="18"/>
        </w:rPr>
        <w:t xml:space="preserve">Renegotiated vendor and logistics agreements, reducing costs 35% and improving margins.</w:t>
      </w:r>
    </w:p>
    <w:p>
      <w:pPr>
        <w:spacing w:before="20" w:after="20" w:lineRule="exact" w:line="230"/>
        <w:ind w:left="187" w:hanging="187"/>
      </w:pPr>
      <w:r>
        <w:rPr>
          <w:rFonts w:ascii="Calibri" w:hAnsi="Calibri"/>
          <w:b w:val="0"/>
          <w:i w:val="0"/>
          <w:color w:val="C09628"/>
          <w:sz w:val="18"/>
        </w:rPr>
        <w:t xml:space="preserve">• </w:t>
      </w:r>
      <w:r>
        <w:rPr>
          <w:rFonts w:ascii="Calibri" w:hAnsi="Calibri"/>
          <w:b w:val="0"/>
          <w:i w:val="0"/>
          <w:color w:val="3A3A3A"/>
          <w:sz w:val="18"/>
        </w:rPr>
        <w:t xml:space="preserve">Implemented a redesigned ERP-based warehouse management system, improving processing efficiency 60% and data visibility.</w:t>
      </w:r>
    </w:p>
    <w:p>
      <w:pPr>
        <w:spacing w:before="20" w:after="20" w:lineRule="exact" w:line="230"/>
        <w:ind w:left="187" w:hanging="187"/>
      </w:pPr>
      <w:r>
        <w:rPr>
          <w:rFonts w:ascii="Calibri" w:hAnsi="Calibri"/>
          <w:b w:val="0"/>
          <w:i w:val="0"/>
          <w:color w:val="C09628"/>
          <w:sz w:val="18"/>
        </w:rPr>
        <w:t xml:space="preserve">• </w:t>
      </w:r>
      <w:r>
        <w:rPr>
          <w:rFonts w:ascii="Calibri" w:hAnsi="Calibri"/>
          <w:b w:val="0"/>
          <w:i w:val="0"/>
          <w:color w:val="3A3A3A"/>
          <w:sz w:val="18"/>
        </w:rPr>
        <w:t xml:space="preserve">Selected, implemented, and trained teams on CRM and business systems, including Salesforce, Zoho, Looker, SQL, and ERP platforms.</w:t>
      </w:r>
    </w:p>
    <w:tbl>
      <w:tblPr>
        <w:tblW w:type="auto" w:w="0"/>
        <w:tblLook w:firstColumn="1" w:firstRow="1" w:lastColumn="0" w:lastRow="0" w:noHBand="0" w:noVBand="1" w:val="04A0"/>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184"/>
        <w:gridCol w:w="5184"/>
      </w:tblGrid>
      <w:tr>
        <w:tc>
          <w:tcPr>
            <w:tcW w:type="dxa" w:w="5184"/>
          </w:tcPr>
          <w:p>
            <w:pPr>
              <w:keepNext/>
              <w:spacing w:before="100" w:after="20"/>
            </w:pPr>
            <w:r>
              <w:rPr>
                <w:rFonts w:ascii="Calibri" w:hAnsi="Calibri"/>
                <w:b/>
                <w:i w:val="0"/>
                <w:color w:val="1C1C1C"/>
                <w:sz w:val="19"/>
              </w:rPr>
              <w:t xml:space="preserve">MONARK CONSULTING GROUP  |  Fractional CFO and Chief Operating Consultant</w:t>
            </w:r>
          </w:p>
        </w:tc>
        <w:tc>
          <w:tcPr>
            <w:tcW w:type="dxa" w:w="5184"/>
          </w:tcPr>
          <w:p>
            <w:pPr>
              <w:keepNext/>
              <w:spacing w:before="100" w:after="20"/>
              <w:jc w:val="right"/>
            </w:pPr>
            <w:r>
              <w:rPr>
                <w:rFonts w:ascii="Calibri" w:hAnsi="Calibri"/>
                <w:b w:val="0"/>
                <w:i w:val="0"/>
                <w:color w:val="C09628"/>
                <w:sz w:val="18"/>
              </w:rPr>
              <w:t xml:space="preserve">Aug 2016–Nov 2021</w:t>
            </w:r>
          </w:p>
        </w:tc>
      </w:tr>
    </w:tbl>
    <w:p>
      <w:pPr>
        <w:keepNext/>
        <w:spacing w:before="0" w:after="40"/>
      </w:pPr>
      <w:r>
        <w:rPr>
          <w:rFonts w:ascii="Calibri" w:hAnsi="Calibri"/>
          <w:b w:val="0"/>
          <w:i/>
          <w:color w:val="555555"/>
          <w:sz w:val="17"/>
        </w:rPr>
        <w:t xml:space="preserve">New York, NY</w:t>
      </w:r>
    </w:p>
    <w:p>
      <w:pPr>
        <w:spacing w:before="20" w:after="20" w:lineRule="exact" w:line="230"/>
        <w:ind w:left="187" w:hanging="187"/>
      </w:pPr>
      <w:r>
        <w:rPr>
          <w:rFonts w:ascii="Calibri" w:hAnsi="Calibri"/>
          <w:b w:val="0"/>
          <w:i w:val="0"/>
          <w:color w:val="C09628"/>
          <w:sz w:val="18"/>
        </w:rPr>
        <w:t xml:space="preserve">• </w:t>
      </w:r>
      <w:r>
        <w:rPr>
          <w:rFonts w:ascii="Calibri" w:hAnsi="Calibri"/>
          <w:b w:val="0"/>
          <w:i w:val="0"/>
          <w:color w:val="3A3A3A"/>
          <w:sz w:val="18"/>
        </w:rPr>
        <w:t xml:space="preserve">Served as financial architect for a $200M national banking-development initiative, supporting capital planning and financial structuring.</w:t>
      </w:r>
    </w:p>
    <w:p>
      <w:pPr>
        <w:spacing w:before="20" w:after="20" w:lineRule="exact" w:line="230"/>
        <w:ind w:left="187" w:hanging="187"/>
      </w:pPr>
      <w:r>
        <w:rPr>
          <w:rFonts w:ascii="Calibri" w:hAnsi="Calibri"/>
          <w:b w:val="0"/>
          <w:i w:val="0"/>
          <w:color w:val="C09628"/>
          <w:sz w:val="18"/>
        </w:rPr>
        <w:t xml:space="preserve">• </w:t>
      </w:r>
      <w:r>
        <w:rPr>
          <w:rFonts w:ascii="Calibri" w:hAnsi="Calibri"/>
          <w:b w:val="0"/>
          <w:i w:val="0"/>
          <w:color w:val="3A3A3A"/>
          <w:sz w:val="18"/>
        </w:rPr>
        <w:t xml:space="preserve">Developed operational and performance-improvement strategies for $50M+ organizations and major brands.</w:t>
      </w:r>
    </w:p>
    <w:p>
      <w:pPr>
        <w:spacing w:before="20" w:after="20" w:lineRule="exact" w:line="230"/>
        <w:ind w:left="187" w:hanging="187"/>
      </w:pPr>
      <w:r>
        <w:rPr>
          <w:rFonts w:ascii="Calibri" w:hAnsi="Calibri"/>
          <w:b w:val="0"/>
          <w:i w:val="0"/>
          <w:color w:val="C09628"/>
          <w:sz w:val="18"/>
        </w:rPr>
        <w:t xml:space="preserve">• </w:t>
      </w:r>
      <w:r>
        <w:rPr>
          <w:rFonts w:ascii="Calibri" w:hAnsi="Calibri"/>
          <w:b w:val="0"/>
          <w:i w:val="0"/>
          <w:color w:val="3A3A3A"/>
          <w:sz w:val="18"/>
        </w:rPr>
        <w:t xml:space="preserve">Built accounting, governance, and operational infrastructure for an international NGO serving children in Haiti.</w:t>
      </w:r>
    </w:p>
    <w:tbl>
      <w:tblPr>
        <w:tblW w:type="auto" w:w="0"/>
        <w:tblLook w:firstColumn="1" w:firstRow="1" w:lastColumn="0" w:lastRow="0" w:noHBand="0" w:noVBand="1" w:val="04A0"/>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184"/>
        <w:gridCol w:w="5184"/>
      </w:tblGrid>
      <w:tr>
        <w:tc>
          <w:tcPr>
            <w:tcW w:type="dxa" w:w="5184"/>
          </w:tcPr>
          <w:p>
            <w:pPr>
              <w:keepNext/>
              <w:spacing w:before="100" w:after="20"/>
            </w:pPr>
            <w:r>
              <w:rPr>
                <w:rFonts w:ascii="Calibri" w:hAnsi="Calibri"/>
                <w:b/>
                <w:i w:val="0"/>
                <w:color w:val="1C1C1C"/>
                <w:sz w:val="19"/>
              </w:rPr>
              <w:t xml:space="preserve">FITNESS COLLECTIVE INC  |  Co-Founder and Chief Operating Officer</w:t>
            </w:r>
          </w:p>
        </w:tc>
        <w:tc>
          <w:tcPr>
            <w:tcW w:type="dxa" w:w="5184"/>
          </w:tcPr>
          <w:p>
            <w:pPr>
              <w:keepNext/>
              <w:spacing w:before="100" w:after="20"/>
              <w:jc w:val="right"/>
            </w:pPr>
            <w:r>
              <w:rPr>
                <w:rFonts w:ascii="Calibri" w:hAnsi="Calibri"/>
                <w:b w:val="0"/>
                <w:i w:val="0"/>
                <w:color w:val="C09628"/>
                <w:sz w:val="18"/>
              </w:rPr>
              <w:t xml:space="preserve">Nov 2004–Feb 2016</w:t>
            </w:r>
          </w:p>
        </w:tc>
      </w:tr>
    </w:tbl>
    <w:p>
      <w:pPr>
        <w:keepNext/>
        <w:spacing w:before="0" w:after="40"/>
      </w:pPr>
      <w:r>
        <w:rPr>
          <w:rFonts w:ascii="Calibri" w:hAnsi="Calibri"/>
          <w:b w:val="0"/>
          <w:i/>
          <w:color w:val="555555"/>
          <w:sz w:val="17"/>
        </w:rPr>
        <w:t xml:space="preserve">New York, NY and Washington, DC</w:t>
      </w:r>
    </w:p>
    <w:p>
      <w:pPr>
        <w:spacing w:before="20" w:after="20" w:lineRule="exact" w:line="230"/>
        <w:ind w:left="187" w:hanging="187"/>
      </w:pPr>
      <w:r>
        <w:rPr>
          <w:rFonts w:ascii="Calibri" w:hAnsi="Calibri"/>
          <w:b w:val="0"/>
          <w:i w:val="0"/>
          <w:color w:val="C09628"/>
          <w:sz w:val="18"/>
        </w:rPr>
        <w:t xml:space="preserve">• </w:t>
      </w:r>
      <w:r>
        <w:rPr>
          <w:rFonts w:ascii="Calibri" w:hAnsi="Calibri"/>
          <w:b w:val="0"/>
          <w:i w:val="0"/>
          <w:color w:val="3A3A3A"/>
          <w:sz w:val="18"/>
        </w:rPr>
        <w:t xml:space="preserve">Founded and scaled a multi-location business from a $5K investment to a $1M enterprise; delivered 33% YoY revenue growth and an 11% margin improvement.</w:t>
      </w:r>
    </w:p>
    <w:p>
      <w:pPr>
        <w:spacing w:before="20" w:after="20" w:lineRule="exact" w:line="230"/>
        <w:ind w:left="187" w:hanging="187"/>
      </w:pPr>
      <w:r>
        <w:rPr>
          <w:rFonts w:ascii="Calibri" w:hAnsi="Calibri"/>
          <w:b w:val="0"/>
          <w:i w:val="0"/>
          <w:color w:val="C09628"/>
          <w:sz w:val="18"/>
        </w:rPr>
        <w:t xml:space="preserve">• </w:t>
      </w:r>
      <w:r>
        <w:rPr>
          <w:rFonts w:ascii="Calibri" w:hAnsi="Calibri"/>
          <w:b w:val="0"/>
          <w:i w:val="0"/>
          <w:color w:val="3A3A3A"/>
          <w:sz w:val="18"/>
        </w:rPr>
        <w:t xml:space="preserve">Built HR, payroll, benefits, and training infrastructure for a 50+ person team.</w:t>
      </w:r>
    </w:p>
    <w:p>
      <w:pPr>
        <w:keepNext/>
        <w:spacing w:before="120" w:after="40"/>
        <w:pBdr>
          <w:bottom w:val="single" w:sz="8" w:space="1" w:color="C09628"/>
        </w:pBdr>
      </w:pPr>
    </w:p>
    <w:p>
      <w:pPr>
        <w:keepNext/>
        <w:spacing w:before="0" w:after="60"/>
        <w:ind w:left="0"/>
      </w:pPr>
      <w:r>
        <w:rPr>
          <w:rFonts w:ascii="Calibri" w:hAnsi="Calibri"/>
          <w:b/>
          <w:i w:val="0"/>
          <w:color w:val="C09628"/>
          <w:sz w:val="19"/>
        </w:rPr>
        <w:t xml:space="preserve">EDUCATION AND CREDENTIALS</w:t>
      </w:r>
    </w:p>
    <w:p>
      <w:pPr>
        <w:spacing w:before="20" w:after="20" w:lineRule="exact" w:line="240"/>
      </w:pPr>
      <w:r>
        <w:rPr>
          <w:rFonts w:ascii="Calibri" w:hAnsi="Calibri"/>
          <w:b w:val="0"/>
          <w:i w:val="0"/>
          <w:color w:val="3A3A3A"/>
          <w:sz w:val="18"/>
        </w:rPr>
        <w:t xml:space="preserve">Master of Business Administration in General Business Management  |  West Texas A&amp;M University  |  2021</w:t>
      </w:r>
    </w:p>
    <w:p>
      <w:pPr>
        <w:spacing w:before="20" w:after="20" w:lineRule="exact" w:line="240"/>
      </w:pPr>
      <w:r>
        <w:rPr>
          <w:rFonts w:ascii="Calibri" w:hAnsi="Calibri"/>
          <w:b w:val="0"/>
          <w:i w:val="0"/>
          <w:color w:val="3A3A3A"/>
          <w:sz w:val="18"/>
        </w:rPr>
        <w:t xml:space="preserve">Bachelor of Science in Small Business Administration  |  Northern Arizona University  |  2019</w:t>
      </w:r>
    </w:p>
    <w:p>
      <w:pPr>
        <w:spacing w:before="20" w:after="20" w:lineRule="exact" w:line="240"/>
      </w:pPr>
      <w:r>
        <w:rPr>
          <w:rFonts w:ascii="Calibri" w:hAnsi="Calibri"/>
          <w:b w:val="0"/>
          <w:i w:val="0"/>
          <w:color w:val="3A3A3A"/>
          <w:sz w:val="18"/>
        </w:rPr>
        <w:t xml:space="preserve">Previously held FINRA Series 7 and Series 63 and Life, Accident and Health Insurance licenses</w:t>
      </w:r>
    </w:p>
    <w:p>
      <w:pPr>
        <w:keepNext/>
        <w:spacing w:before="120" w:after="40"/>
        <w:pBdr>
          <w:bottom w:val="single" w:sz="8" w:space="1" w:color="C09628"/>
        </w:pBdr>
      </w:pPr>
    </w:p>
    <w:p>
      <w:pPr>
        <w:keepNext/>
        <w:spacing w:before="0" w:after="60"/>
        <w:ind w:left="0"/>
      </w:pPr>
      <w:r>
        <w:rPr>
          <w:rFonts w:ascii="Calibri" w:hAnsi="Calibri"/>
          <w:b/>
          <w:i w:val="0"/>
          <w:color w:val="C09628"/>
          <w:sz w:val="19"/>
        </w:rPr>
        <w:t xml:space="preserve">TECHNOLOGY</w:t>
      </w:r>
    </w:p>
    <w:p>
      <w:pPr>
        <w:spacing w:before="20" w:after="40"/>
      </w:pPr>
      <w:r>
        <w:rPr>
          <w:rFonts w:ascii="Calibri" w:hAnsi="Calibri"/>
          <w:b w:val="0"/>
          <w:i w:val="0"/>
          <w:color w:val="3A3A3A"/>
          <w:sz w:val="18"/>
        </w:rPr>
        <w:t xml:space="preserve">Salesforce  •  Zoho CRM  •  Looker  •  SQL  •  ERP and workflow systems  •  Microsoft Excel and PowerPoint  •  KPI dashboards and financial reporting</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