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STRATEGIC FINANCE  ·  GOVERNMENT GRANTS &amp; CONTRACTS  ·  CASH MANAGEMENT  ·  SYSTEMS MODERNIZATION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Finance executive for multi-site, government-funded human-services organizations. Strategic advisor to CEOs, executive teams, and Boards on budgeting, forecasting, cash management, and growth. Directed financial controls, billing, and compliance for New York City agency contracts; designed internal controls and fund-accounting frameworks; and led audit readiness under GAAP and Uniform Guidance. Modernized operations by implementing ERP-based systems that improved processing efficiency 60%. Held P&amp;L accountability for a 140-person, multi-program division and reversed a $1M operating deficit into a 13% surplus.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Enterprise Budgeting &amp; Forecasting  •  Cash Management &amp; Liquidity  •  Government Grant &amp; Contract Finance  •  Compliance &amp; Risk Management  •  Audit Oversight  •  Financial Systems Modernization (ERP, Procurement)  •  Multi-Site Operations  •  NYC &amp; NYS Funders  •  CEO &amp; Board Advisory  •  Finance Team Development  •  Child &amp; Family Services Sector  •  Turnaround &amp; Remediation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Execute financial turnarounds, forensic accounting, historical clean-up, and audit remediation for organizations with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Identified and recovered $1.5M+ in tax savings through detailed financial analysis and correction of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Structured the financial framework for a NYPA Clean Energy Workforce Program, aligning public funding, compliance, and performance metrics.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Coached and developed managers and staff, building training and talent-development practices across the division.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Selected, implemented, and trained teams on CRM and business systems, including Salesforce, Zoho, Looker, SQL, and ERP platforms.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