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onkretizacija-teme-diplomskog-rada"/>
    <w:p>
      <w:pPr>
        <w:pStyle w:val="Heading1"/>
      </w:pPr>
      <w:r>
        <w:t xml:space="preserve">Konkretizacija teme diplomskog rada</w:t>
      </w:r>
    </w:p>
    <w:p>
      <w:pPr>
        <w:pStyle w:val="FirstParagraph"/>
      </w:pPr>
      <w:r>
        <w:rPr>
          <w:b/>
          <w:bCs/>
        </w:rPr>
        <w:t xml:space="preserve">Radni naslov:</w:t>
      </w:r>
      <w:r>
        <w:t xml:space="preserve"> </w:t>
      </w:r>
      <w:r>
        <w:t xml:space="preserve">Self-hosted RAG sistem za pitanja i odgovore nad multimodalnom internom dokumentacijom fiktivne IT kompanije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Lazar Stoiljković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Jul 2026.</w:t>
      </w:r>
    </w:p>
    <w:p>
      <w:r>
        <w:pict>
          <v:rect style="width:0;height:1.5pt" o:hralign="center" o:hrstd="t" o:hr="t"/>
        </w:pict>
      </w:r>
    </w:p>
    <w:bookmarkStart w:id="9" w:name="motivacija-za-konkretizaciju"/>
    <w:p>
      <w:pPr>
        <w:pStyle w:val="Heading2"/>
      </w:pPr>
      <w:r>
        <w:t xml:space="preserve">1. Motivacija za konkretizaciju</w:t>
      </w:r>
    </w:p>
    <w:p>
      <w:pPr>
        <w:pStyle w:val="FirstParagraph"/>
      </w:pPr>
      <w:r>
        <w:t xml:space="preserve">Prethodna verzija rada je poredila dva RAG rešenja koja oba koriste isti upravljani (managed) LLM servis — Amazon Bedrock — i razlikuju se samo u načinu vektorske pretrage (Bedrock Knowledge Base naspram sopstvenog OpenSearch indeksa). Na konsultacijama je ocenjeno da je ovakav opseg previše opšt: rad u velikoj meri demonstrira korišćenje AWS servisa, a ne rešava konkretan istraživački problem.</w:t>
      </w:r>
    </w:p>
    <w:p>
      <w:pPr>
        <w:pStyle w:val="BodyText"/>
      </w:pPr>
      <w:r>
        <w:t xml:space="preserve">Tema je konkretizovana u tri pravca: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Definisan je konkretan skup dokumenata</w:t>
      </w:r>
      <w:r>
        <w:t xml:space="preserve"> </w:t>
      </w:r>
      <w:r>
        <w:t xml:space="preserve">— mešavina čisto tekstualnih i</w:t>
      </w:r>
      <w:r>
        <w:t xml:space="preserve"> </w:t>
      </w:r>
      <w:r>
        <w:t xml:space="preserve">“born-digital”</w:t>
      </w:r>
      <w:r>
        <w:t xml:space="preserve"> </w:t>
      </w:r>
      <w:r>
        <w:t xml:space="preserve">dokumenata sa ugrađenim slikama (dijagrami, grafikoni), čime se otvara pitanje multimodalne obrade dokumenata u RAG sistemu.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Implementira se jedan, do kraja razrađen end-to-end pipeline</w:t>
      </w:r>
      <w:r>
        <w:t xml:space="preserve">, umesto poređenja dva paralelna managed rešenja.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Generativni deo sistema (LLM), embedding model i model za opis slika su self-hosted</w:t>
      </w:r>
      <w:r>
        <w:t xml:space="preserve"> </w:t>
      </w:r>
      <w:r>
        <w:t xml:space="preserve">— pokreću se na sopstvenoj GPU infrastrukturi, a ne kroz upravljani AI servis.</w:t>
      </w:r>
    </w:p>
    <w:p>
      <w:r>
        <w:pict>
          <v:rect style="width:0;height:1.5pt" o:hralign="center" o:hrstd="t" o:hr="t"/>
        </w:pict>
      </w:r>
    </w:p>
    <w:bookmarkEnd w:id="9"/>
    <w:bookmarkStart w:id="14" w:name="X9b30249568ad4850f2ea310feecd930afcda6fb"/>
    <w:p>
      <w:pPr>
        <w:pStyle w:val="Heading2"/>
      </w:pPr>
      <w:r>
        <w:t xml:space="preserve">2. Pojmovno objašnjenje: šta znači</w:t>
      </w:r>
      <w:r>
        <w:t xml:space="preserve"> </w:t>
      </w:r>
      <w:r>
        <w:t xml:space="preserve">“self-hosted RAG”</w:t>
      </w:r>
      <w:r>
        <w:t xml:space="preserve">?</w:t>
      </w:r>
    </w:p>
    <w:bookmarkStart w:id="10" w:name="rag-retrieval-augmented-generation"/>
    <w:p>
      <w:pPr>
        <w:pStyle w:val="Heading3"/>
      </w:pPr>
      <w:r>
        <w:t xml:space="preserve">2.1 RAG (Retrieval-Augmented Generation)</w:t>
      </w:r>
    </w:p>
    <w:p>
      <w:pPr>
        <w:pStyle w:val="FirstParagraph"/>
      </w:pPr>
      <w:r>
        <w:t xml:space="preserve">RAG sistem ima dve suštinske komponente: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Retrieval</w:t>
      </w:r>
      <w:r>
        <w:t xml:space="preserve"> </w:t>
      </w:r>
      <w:r>
        <w:t xml:space="preserve">— embedding model + vektorska baza + pretraga → pronalazi relevantne delove dokumenata.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Generation</w:t>
      </w:r>
      <w:r>
        <w:t xml:space="preserve"> </w:t>
      </w:r>
      <w:r>
        <w:t xml:space="preserve">— LLM → uzima pronađeni kontekst i pitanje, i formuliše konačan odgovor u prirodnom jeziku.</w:t>
      </w:r>
    </w:p>
    <w:p>
      <w:pPr>
        <w:pStyle w:val="FirstParagraph"/>
      </w:pPr>
      <w:r>
        <w:t xml:space="preserve">Bez LLM-a (generation dela), sistem bi bio samo pretraživač koji vraća sirove delove teksta, a ne formulisan odgovor. Bez retrieval dela, LLM bi bio običan chatbot koji odgovara isključivo iz sopstvenog pretreniranog znanja, bez oslonca na konkretne dokumente — što je upravo ono što RAG pokušava da spreči (halucinacije, needostatak grounding-a).</w:t>
      </w:r>
    </w:p>
    <w:bookmarkEnd w:id="10"/>
    <w:bookmarkStart w:id="11" w:name="managed-naspram-self-hosted-pristupa"/>
    <w:p>
      <w:pPr>
        <w:pStyle w:val="Heading3"/>
      </w:pPr>
      <w:r>
        <w:t xml:space="preserve">2.2 Managed naspram self-hosted pristupa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(npr. Amazon Bedrock) — poziva se tuđ servis preko API-ja; model radi na infrastrukturi provajdera; plaća se po pozivu/tokenu; nema pristupa težinama modela niti kontrole nad hardverom na kom radi.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Self-hosted</w:t>
      </w:r>
      <w:r>
        <w:t xml:space="preserve"> </w:t>
      </w:r>
      <w:r>
        <w:t xml:space="preserve">(novi pravac) — open-weight model (npr. Mistral-7B) se preuzima i pokreće na sopstvenoj infrastrukturi (EC2 GPU instanca koja se sama provisionira i njome se upravlja), uz serving softver poput vLLM-a. Vlasnik sistema je odgovoran za GPU, skaliranje i dostupnost, ali ima potpunu kontrolu nad modelom.</w:t>
      </w:r>
    </w:p>
    <w:bookmarkEnd w:id="11"/>
    <w:bookmarkStart w:id="12" w:name="Xf3e184a97099dc9ee8be75483ba8e2fe69c29df"/>
    <w:p>
      <w:pPr>
        <w:pStyle w:val="Heading3"/>
      </w:pPr>
      <w:r>
        <w:t xml:space="preserve">2.3 Šta se konkretno dobija self-hostingom LLM-a</w:t>
      </w:r>
    </w:p>
    <w:p>
      <w:pPr>
        <w:pStyle w:val="FirstParagraph"/>
      </w:pPr>
      <w:r>
        <w:t xml:space="preserve">Self-hosting ne garantuje bolji kvalitet odgovora — mali open-weight model (7B) realno neće nadmašiti Claude 3 Haiku po kvalitetu generisanja. Dobitak je drugačije prirode: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Demonstracija razumevanja inference serving-a</w:t>
      </w:r>
      <w:r>
        <w:t xml:space="preserve"> </w:t>
      </w:r>
      <w:r>
        <w:t xml:space="preserve">— sposobnost da se postavi i konfiguriše pravi serving sloj (vLLM, continuous batching, upravljanje KV cache-om), a ne samo pozivanje tuđeg API-ja. Ovo je akademski najvredniji deo — dokazuje dublje tehničko razumevanje kako LLM inference stvarno radi.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Empirijski materijal za poređenje</w:t>
      </w:r>
      <w:r>
        <w:t xml:space="preserve"> </w:t>
      </w:r>
      <w:r>
        <w:t xml:space="preserve">— merljiva latencija po fazi, trošak (GPU po satu naspram pay-per-token modela) i kvalitet odgovora (RAGAS) self-hosted naspram managed pristupa. Ovo je konkretan istraživački doprinos koji prethodna verzija rada nije imala (poredila je dva managed pristupa koja koriste isti LLM).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Nezavisnost od cloud provajdera</w:t>
      </w:r>
      <w:r>
        <w:t xml:space="preserve"> </w:t>
      </w:r>
      <w:r>
        <w:t xml:space="preserve">— podaci (interna dokumentacija fiktivne kompanije) nikad ne napuštaju sopstvenu infrastrukturu; nema zavisnosti od dostupnosti, cenovnika ili politike jednog vendora.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Potpuna kontrola nad modelom</w:t>
      </w:r>
      <w:r>
        <w:t xml:space="preserve"> </w:t>
      </w:r>
      <w:r>
        <w:t xml:space="preserve">— mogućnost izbora tačne verzije/kvantizacije modela, i teorijski, mogućnost fine-tuninga (vidi 2.4), što managed servisi ne dozvoljavaju.</w:t>
      </w:r>
    </w:p>
    <w:p>
      <w:pPr>
        <w:pStyle w:val="FirstParagraph"/>
      </w:pPr>
      <w:r>
        <w:t xml:space="preserve">Ukratko: dobitak nije</w:t>
      </w:r>
      <w:r>
        <w:t xml:space="preserve"> </w:t>
      </w:r>
      <w:r>
        <w:t xml:space="preserve">“bolji odgovori”</w:t>
      </w:r>
      <w:r>
        <w:t xml:space="preserve">, nego dublja kontrola, merljivost i nezavisnost.</w:t>
      </w:r>
    </w:p>
    <w:bookmarkEnd w:id="12"/>
    <w:bookmarkStart w:id="13" w:name="fine-tuning-napomena"/>
    <w:p>
      <w:pPr>
        <w:pStyle w:val="Heading3"/>
      </w:pPr>
      <w:r>
        <w:t xml:space="preserve">2.4 Fine-tuning (napomena)</w:t>
      </w:r>
    </w:p>
    <w:p>
      <w:pPr>
        <w:pStyle w:val="FirstParagraph"/>
      </w:pPr>
      <w:r>
        <w:t xml:space="preserve">Fine-tuning je dodatno treniranje već pretreniranog modela na sopstvenim, specifičnim podacima radi prilagođavanja konkretnom zadatku ili domenu — npr. treniranje Mistral-7B na Q&amp;A parovima iz korpusa fiktivne kompanije (efikasnije preko LoRA/QLoRA), radi boljeg poznavanja terminologije, stila odgovora ili boljeg rada na srpskom jeziku.</w:t>
      </w:r>
    </w:p>
    <w:p>
      <w:pPr>
        <w:pStyle w:val="BodyText"/>
      </w:pPr>
      <w:r>
        <w:t xml:space="preserve">Kod self-hosted modela ovo je moguće jer postoji pristup sirovim težinama modela; kod managed servisa (Bedrock) to generalno nije moguće ili je jako ograničeno. Fine-tuning</w:t>
      </w:r>
      <w:r>
        <w:t xml:space="preserve"> </w:t>
      </w:r>
      <w:r>
        <w:rPr>
          <w:b/>
          <w:bCs/>
        </w:rPr>
        <w:t xml:space="preserve">trenutno nije deo obima ovog rada</w:t>
      </w:r>
      <w:r>
        <w:t xml:space="preserve"> </w:t>
      </w:r>
      <w:r>
        <w:t xml:space="preserve">— pominje se ovde samo kao teorijska prednost self-hostinga i mogući pravac budućeg proširenja, ne kao planirana implementacija.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kup-dokumenata-korpus"/>
    <w:p>
      <w:pPr>
        <w:pStyle w:val="Heading2"/>
      </w:pPr>
      <w:r>
        <w:t xml:space="preserve">3. Skup dokumenata (korpus)</w:t>
      </w:r>
    </w:p>
    <w:p>
      <w:pPr>
        <w:pStyle w:val="FirstParagraph"/>
      </w:pPr>
      <w:r>
        <w:t xml:space="preserve">Korpus namerno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koristi opšte javno dostupno tehničko znanje (npr. uvodni tekstovi o AWS-u ili mašinskom učenju), jer bi takav sadržaj mogao biti deo pretreninga generativnog modela — u tom slučaju model može dati tačan odgovor i bez ispravnog retrievala, što obesmišljava merenje faithfulness metrike (da li je odgovor stvarno zasnovan na pronađenom kontekstu).</w:t>
      </w:r>
    </w:p>
    <w:p>
      <w:pPr>
        <w:pStyle w:val="BodyText"/>
      </w:pPr>
      <w:r>
        <w:t xml:space="preserve">Umesto toga, korpus je</w:t>
      </w:r>
      <w:r>
        <w:t xml:space="preserve"> </w:t>
      </w:r>
      <w:r>
        <w:rPr>
          <w:b/>
          <w:bCs/>
        </w:rPr>
        <w:t xml:space="preserve">uzak i izmišljen (sintetički)</w:t>
      </w:r>
      <w:r>
        <w:t xml:space="preserve">: interna tehnička dokumentacija fiktivne kompanije (npr.</w:t>
      </w:r>
      <w:r>
        <w:t xml:space="preserve"> </w:t>
      </w:r>
      <w:r>
        <w:t xml:space="preserve">“TechSolutions d.o.o.”</w:t>
      </w:r>
      <w:r>
        <w:t xml:space="preserve">) koja opisuje arhitekturu njenog sopstvenog softverskog sistema. Sadržaj (imena servisa, brojevi, dijagrami, metrike) je izmišljen i ne postoji nigde javno, čime se garantuje da model ne može odgovoriti tačno bez retrievala iz dokumenata. Korpus se sastoji od dve kategorije: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Čisto tekstualni dokumenti</w:t>
      </w:r>
      <w:r>
        <w:t xml:space="preserve"> </w:t>
      </w:r>
      <w:r>
        <w:t xml:space="preserve">— npr. opis mikroservisa, tehničke specifikacije, changelog, runbook-ovi za incidente.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Born-digital dokumenti sa ugrađenim slikama</w:t>
      </w:r>
      <w:r>
        <w:t xml:space="preserve"> </w:t>
      </w:r>
      <w:r>
        <w:t xml:space="preserve">— PDF/DOCX fajlovi kod kojih je tekst selektabilan, ali sadrže i dijagrame arhitekture sistema, flowchart-ove deployment procesa i grafikone performansi/troškova koji nose deo informacije nezavisno od okolnog teksta.</w:t>
      </w:r>
    </w:p>
    <w:p>
      <w:pPr>
        <w:pStyle w:val="FirstParagraph"/>
      </w:pPr>
      <w:r>
        <w:t xml:space="preserve">Ova kombinacija omogućava direktno poređenje kvaliteta odgovora na pitanja koja zahtevaju isključivo tekstualni kontekst naspram pitanja koja zahtevaju informaciju sadržanu isključivo u slici (npr.</w:t>
      </w:r>
      <w:r>
        <w:t xml:space="preserve"> </w:t>
      </w:r>
      <w:r>
        <w:t xml:space="preserve">“Koje slojeve ima arhitektura sistema X?”</w:t>
      </w:r>
      <w:r>
        <w:t xml:space="preserve"> </w:t>
      </w:r>
      <w:r>
        <w:t xml:space="preserve">— odgovor je vidljiv samo na dijagramu, ne i u pratećem tekstu).</w:t>
      </w:r>
    </w:p>
    <w:p>
      <w:r>
        <w:pict>
          <v:rect style="width:0;height:1.5pt" o:hralign="center" o:hrstd="t" o:hr="t"/>
        </w:pict>
      </w:r>
    </w:p>
    <w:bookmarkEnd w:id="15"/>
    <w:bookmarkStart w:id="19" w:name="arhitektura-sistema"/>
    <w:p>
      <w:pPr>
        <w:pStyle w:val="Heading2"/>
      </w:pPr>
      <w:r>
        <w:t xml:space="preserve">4. Arhitektura sistema</w:t>
      </w:r>
    </w:p>
    <w:bookmarkStart w:id="16" w:name="obrada-dokumenata-ingestion"/>
    <w:p>
      <w:pPr>
        <w:pStyle w:val="Heading3"/>
      </w:pPr>
      <w:r>
        <w:t xml:space="preserve">4.1 Obrada dokumenata (ingestion)</w:t>
      </w:r>
    </w:p>
    <w:p>
      <w:pPr>
        <w:pStyle w:val="SourceCode"/>
      </w:pPr>
      <w:r>
        <w:rPr>
          <w:rStyle w:val="VerbatimChar"/>
        </w:rPr>
        <w:t xml:space="preserve">Dokument (PDF/DOCX)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Ekstrakcija teksta ──────────────► Chunking (512 znakova, 50 overlap)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Ekstrakcija slika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Captioning model (self-hosted)</w:t>
      </w:r>
      <w:r>
        <w:br/>
      </w:r>
      <w:r>
        <w:rPr>
          <w:rStyle w:val="VerbatimChar"/>
        </w:rPr>
        <w:t xml:space="preserve">   generiše tekstualni opis slike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Opis slike se tretira kao dodatni chunk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Embedding model (self-hosted) ──► vektor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Indeksiranje u OpenSearch (tekst + vektor + metapodaci)</w:t>
      </w:r>
    </w:p>
    <w:bookmarkEnd w:id="16"/>
    <w:bookmarkStart w:id="17" w:name="odgovaranje-na-pitanje-query"/>
    <w:p>
      <w:pPr>
        <w:pStyle w:val="Heading3"/>
      </w:pPr>
      <w:r>
        <w:t xml:space="preserve">4.2 Odgovaranje na pitanje (query)</w:t>
      </w:r>
    </w:p>
    <w:p>
      <w:pPr>
        <w:pStyle w:val="SourceCode"/>
      </w:pPr>
      <w:r>
        <w:rPr>
          <w:rStyle w:val="VerbatimChar"/>
        </w:rPr>
        <w:t xml:space="preserve">Pitanje korisnika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Embedding model (self-hosted) ──► vektor pitanja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k-NN vektorska pretraga u OpenSearch ──► top-k najrelevantnijih chunkova</w:t>
      </w:r>
      <w:r>
        <w:br/>
      </w:r>
      <w:r>
        <w:rPr>
          <w:rStyle w:val="VerbatimChar"/>
        </w:rPr>
        <w:t xml:space="preserve">   │                                     (tekstualni i captioni slika)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Generativni LLM (self-hosted) ──► odgovor zasnovan na pronađenom kontekstu</w:t>
      </w:r>
    </w:p>
    <w:bookmarkEnd w:id="17"/>
    <w:bookmarkStart w:id="18" w:name="self-hosted-komponente"/>
    <w:p>
      <w:pPr>
        <w:pStyle w:val="Heading3"/>
      </w:pPr>
      <w:r>
        <w:t xml:space="preserve">4.3 Self-hosted komponente</w:t>
      </w:r>
    </w:p>
    <w:p>
      <w:pPr>
        <w:pStyle w:val="FirstParagraph"/>
      </w:pPr>
      <w:r>
        <w:t xml:space="preserve">Sve tri AI komponente pokreću se na sopstvenoj GPU infrastrukturi (EC2 GPU instanca), umesto kroz Amazon Bedrock: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Kandidat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Pretvara tekst i opise slika u vektore (sr + en)</w:t>
            </w:r>
          </w:p>
        </w:tc>
        <w:tc>
          <w:tcPr/>
          <w:p>
            <w:pPr>
              <w:pStyle w:val="Compact"/>
            </w:pPr>
            <w:r>
              <w:t xml:space="preserve">BAAI/bge-m3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Captioning model</w:t>
            </w:r>
          </w:p>
        </w:tc>
        <w:tc>
          <w:tcPr/>
          <w:p>
            <w:pPr>
              <w:pStyle w:val="Compact"/>
            </w:pPr>
            <w:r>
              <w:t xml:space="preserve">Generiše tekstualni opis dijagrama/grafikona</w:t>
            </w:r>
          </w:p>
        </w:tc>
        <w:tc>
          <w:tcPr/>
          <w:p>
            <w:pPr>
              <w:pStyle w:val="Compact"/>
            </w:pPr>
            <w:r>
              <w:t xml:space="preserve">BLIP-2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Generativni LLM</w:t>
            </w:r>
          </w:p>
        </w:tc>
        <w:tc>
          <w:tcPr/>
          <w:p>
            <w:pPr>
              <w:pStyle w:val="Compact"/>
            </w:pPr>
            <w:r>
              <w:t xml:space="preserve">Generiše finalni odgovor na osnovu pronađenog konteksta</w:t>
            </w:r>
          </w:p>
        </w:tc>
        <w:tc>
          <w:tcPr/>
          <w:p>
            <w:pPr>
              <w:pStyle w:val="Compact"/>
            </w:pPr>
            <w:r>
              <w:t xml:space="preserve">Mistral-7B-Instruct (vLLM serving)</w:t>
            </w:r>
          </w:p>
        </w:tc>
      </w:tr>
    </w:tbl>
    <w:p>
      <w:pPr>
        <w:pStyle w:val="BodyText"/>
      </w:pPr>
      <w:r>
        <w:t xml:space="preserve">Generativni model se servira preko</w:t>
      </w:r>
      <w:r>
        <w:t xml:space="preserve"> </w:t>
      </w:r>
      <w:r>
        <w:rPr>
          <w:b/>
          <w:bCs/>
        </w:rPr>
        <w:t xml:space="preserve">vLLM</w:t>
      </w:r>
      <w:r>
        <w:t xml:space="preserve">-a (OpenAI-compatible API, continuous batching, upravljanje KV cache-om), što omogućava teorijsku diskusiju o pravom inference serving-u, a ne samo pozivanju modela.</w:t>
      </w:r>
    </w:p>
    <w:p>
      <w:pPr>
        <w:pStyle w:val="BodyText"/>
      </w:pPr>
      <w:r>
        <w:t xml:space="preserve">Procena GPU resursa: tri modela zajedno (Mistral-7B FP16 ~15GB, BLIP-2 ~5-6GB, bge-m3 ~2GB) zahtevaju</w:t>
      </w:r>
      <w:r>
        <w:t xml:space="preserve"> </w:t>
      </w:r>
      <w:r>
        <w:rPr>
          <w:rStyle w:val="VerbatimChar"/>
        </w:rPr>
        <w:t xml:space="preserve">g5.xlarge</w:t>
      </w:r>
      <w:r>
        <w:t xml:space="preserve"> </w:t>
      </w:r>
      <w:r>
        <w:t xml:space="preserve">(24GB VRAM, A10G) uz eventualnu 4-bit kvantizaciju generativnog modela radi rezerve memorije, ili</w:t>
      </w:r>
      <w:r>
        <w:t xml:space="preserve"> </w:t>
      </w:r>
      <w:r>
        <w:rPr>
          <w:rStyle w:val="VerbatimChar"/>
        </w:rPr>
        <w:t xml:space="preserve">g5.2xlarge</w:t>
      </w:r>
      <w:r>
        <w:t xml:space="preserve"> </w:t>
      </w:r>
      <w:r>
        <w:t xml:space="preserve">bez kvantizacije.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dnos-prema-prethodnoj-verziji-rada"/>
    <w:p>
      <w:pPr>
        <w:pStyle w:val="Heading2"/>
      </w:pPr>
      <w:r>
        <w:t xml:space="preserve">5. Odnos prema prethodnoj verziji rada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 OpenSearch rešenje</w:t>
      </w:r>
      <w:r>
        <w:t xml:space="preserve"> </w:t>
      </w:r>
      <w:r>
        <w:t xml:space="preserve">(vektorska baza, chunking, k-NN pretraga) se zadržava kao osnova — infrastruktura oko OpenSearch-a, S3-a i DynamoDB-a ostaje ista.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Bedrock pozivi</w:t>
      </w:r>
      <w:r>
        <w:t xml:space="preserve"> </w:t>
      </w:r>
      <w:r>
        <w:t xml:space="preserve">(Titan Embeddings, Claude 3 Haiku) se</w:t>
      </w:r>
      <w:r>
        <w:t xml:space="preserve"> </w:t>
      </w:r>
      <w:r>
        <w:rPr>
          <w:b/>
          <w:bCs/>
        </w:rPr>
        <w:t xml:space="preserve">zamenjuju</w:t>
      </w:r>
      <w:r>
        <w:t xml:space="preserve"> </w:t>
      </w:r>
      <w:r>
        <w:t xml:space="preserve">pozivima ka self-hosted modelima na GPU instanci.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Knowledge Base rešenje</w:t>
      </w:r>
      <w:r>
        <w:t xml:space="preserve"> </w:t>
      </w:r>
      <w:r>
        <w:t xml:space="preserve">(Bedrock managed pristup) se uklanja iz aktivnog fokusa rada i pominje se u dokumentaciji samo kao napušten pravac — poređenje dva managed pristupa više nije centralna tema rada.</w:t>
      </w:r>
    </w:p>
    <w:p>
      <w:pPr>
        <w:pStyle w:val="Compact"/>
        <w:numPr>
          <w:ilvl w:val="0"/>
          <w:numId w:val="1006"/>
        </w:numPr>
      </w:pPr>
      <w:r>
        <w:t xml:space="preserve">Rezultat je</w:t>
      </w:r>
      <w:r>
        <w:t xml:space="preserve"> </w:t>
      </w:r>
      <w:r>
        <w:rPr>
          <w:b/>
          <w:bCs/>
        </w:rPr>
        <w:t xml:space="preserve">jedan, dublje razrađen sistem</w:t>
      </w:r>
      <w:r>
        <w:t xml:space="preserve">, umesto dva plića.</w:t>
      </w:r>
    </w:p>
    <w:p>
      <w:r>
        <w:pict>
          <v:rect style="width:0;height:1.5pt" o:hralign="center" o:hrstd="t" o:hr="t"/>
        </w:pict>
      </w:r>
    </w:p>
    <w:bookmarkEnd w:id="20"/>
    <w:bookmarkStart w:id="21" w:name="plan-evaluacije"/>
    <w:p>
      <w:pPr>
        <w:pStyle w:val="Heading2"/>
      </w:pPr>
      <w:r>
        <w:t xml:space="preserve">6. Plan evaluacije</w:t>
      </w:r>
    </w:p>
    <w:p>
      <w:pPr>
        <w:pStyle w:val="FirstParagraph"/>
      </w:pPr>
      <w:r>
        <w:t xml:space="preserve">Zadržava se postojeći RAGAS evaluacioni okvir (faithfulness, answer relevancy, context recall, context precision), primenjen sada nad self-hosted sistemom. Dataset pitanja se proširuje pitanjima koja zahtevaju informaciju isključivo iz slike, kako bi se posebno mogao izmeriti doprinos captioning koraka.</w:t>
      </w:r>
    </w:p>
    <w:p>
      <w:pPr>
        <w:pStyle w:val="BodyText"/>
      </w:pPr>
      <w:r>
        <w:t xml:space="preserve">Dodatno se mere: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Latencija</w:t>
      </w:r>
      <w:r>
        <w:t xml:space="preserve"> </w:t>
      </w:r>
      <w:r>
        <w:t xml:space="preserve">po fazi (embedding, retrieval, captioning, generisanje) — poredi se sa prethodno izmerenim Bedrock latencijama.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Troškovi</w:t>
      </w:r>
      <w:r>
        <w:t xml:space="preserve"> </w:t>
      </w:r>
      <w:r>
        <w:t xml:space="preserve">— GPU instanca po satu naspram pay-per-token Bedrock modela, uz analizu break-even tačke u zavisnosti od obima saobraćaja.</w:t>
      </w:r>
    </w:p>
    <w:p>
      <w:r>
        <w:pict>
          <v:rect style="width:0;height:1.5pt" o:hralign="center" o:hrstd="t" o:hr="t"/>
        </w:pict>
      </w:r>
    </w:p>
    <w:bookmarkEnd w:id="21"/>
    <w:bookmarkStart w:id="22" w:name="otvorena-pitanja-za-konsultacije"/>
    <w:p>
      <w:pPr>
        <w:pStyle w:val="Heading2"/>
      </w:pPr>
      <w:r>
        <w:t xml:space="preserve">7. Otvorena pitanja za konsultacije</w:t>
      </w:r>
    </w:p>
    <w:p>
      <w:pPr>
        <w:pStyle w:val="Compact"/>
        <w:numPr>
          <w:ilvl w:val="0"/>
          <w:numId w:val="1007"/>
        </w:numPr>
      </w:pPr>
      <w:r>
        <w:t xml:space="preserve">Da li GPU instanca treba da radi 24/7 tokom razvoja ili se pali/gasi po potrebi (uticaj na testiranje i troškove)?</w:t>
      </w:r>
    </w:p>
    <w:p>
      <w:pPr>
        <w:pStyle w:val="Compact"/>
        <w:numPr>
          <w:ilvl w:val="0"/>
          <w:numId w:val="1007"/>
        </w:numPr>
      </w:pPr>
      <w:r>
        <w:t xml:space="preserve">Obim poglavlja u samom radu koji se posvećuje teorijskom pregledu vision-language modela.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2026-07-24T14:05:56Z</dcterms:created>
  <dcterms:modified xsi:type="dcterms:W3CDTF">2026-07-24T14:05:56Z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