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standardi</w:t>
      </w:r>
    </w:p>
    <w:p>
      <w:r>
        <w:t>Interni dokument · Nexa Tech Solutions d.o.o. · Frontend team · važi od 1. aprila 2026.</w:t>
      </w:r>
    </w:p>
    <w:p>
      <w:pPr>
        <w:pStyle w:val="Heading1"/>
      </w:pPr>
      <w:r>
        <w:t>1. Osnovna pravila</w:t>
      </w:r>
    </w:p>
    <w:p>
      <w:r>
        <w:t>Frontend aplikacije Nexa Booking piše se u React-u i TypeScript-u, sa uključenim strict režimom. Komponente se imenuju u PascalCase obliku, jedna komponenta po fajlu. Svaki pull request koji menja UI mora da sadrži screenshot pre i posle izmene.</w:t>
      </w:r>
    </w:p>
    <w:p>
      <w:r>
        <w:t>Accessibility je obavezan, a ne poželjan: svaki novi ekran mora da prođe automatski audit pre merge-a i ručnu proveru tastaturom pre deploy-a u produkciju.</w:t>
      </w:r>
    </w:p>
    <w:p>
      <w:r>
        <w:rPr>
          <w:b/>
        </w:rPr>
        <w:t>Tabela 1. Pravila i provere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Oblast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Pravilo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Kako se proverava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Bundle size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najviše 250 KB (gzip) po ruti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automatski u CI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Testovi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coverage najmanje 80% deljenih komponenti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CI izveštaj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Accessibility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WCAG 2.1, nivo AA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automatski audit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Code style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ESLint i Prettier, bez upozorenja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pre-commit hook</w:t>
            </w:r>
          </w:p>
        </w:tc>
      </w:tr>
    </w:tbl>
    <w:p>
      <w:pPr>
        <w:pStyle w:val="Heading1"/>
      </w:pPr>
      <w:r>
        <w:t>2. Tok podataka</w:t>
      </w:r>
    </w:p>
    <w:p>
      <w:r>
        <w:t>Slika 1 prikazuje propisani tok podataka u frontendu. Odstupanje od ovog toka je razlog za odbijanje pull request-a.</w:t>
      </w:r>
    </w:p>
    <w:p>
      <w:r>
        <w:drawing>
          <wp:inline xmlns:a="http://schemas.openxmlformats.org/drawingml/2006/main" xmlns:pic="http://schemas.openxmlformats.org/drawingml/2006/picture">
            <wp:extent cx="5760000" cy="2104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standardi.docx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4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Slika 1. Tok podataka u frontendu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standardi</dc:title>
  <dc:subject/>
  <dc:creator>Nexa Tech Solutions d.o.o. (fiktivno)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