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Izveštaj o performansama — Q2 2026.</w:t>
      </w:r>
    </w:p>
    <w:p>
      <w:r>
        <w:t>Interni dokument · Nexa Tech Solutions d.o.o. · Platform team · Q2 2026.</w:t>
      </w:r>
    </w:p>
    <w:p>
      <w:pPr>
        <w:pStyle w:val="Heading1"/>
      </w:pPr>
      <w:r>
        <w:t>1. Load test</w:t>
      </w:r>
    </w:p>
    <w:p>
      <w:r>
        <w:t>Pre letnje sezone, kada broj rezervacija raste, sproveden je load test sa ciljem od 1.500 zahteva u sekundi. Sistem je izdržao 1.850 zahteva u sekundi pre nego što je p95 latencija prešla 500 milisekundi. Bottleneck je bio payment-service, zbog ograničenja eksternog payment provajdera na broj istovremenih konekcija.</w:t>
      </w:r>
    </w:p>
    <w:p>
      <w:r>
        <w:rPr>
          <w:b/>
        </w:rPr>
        <w:t>Tabela 1. Rezultati load testa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Scenario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Zahteva u sekundi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p95 (ms)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Error rate (%)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</w:rPr>
              <w:t>pretraga termina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1.200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96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0,01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</w:rPr>
              <w:t>nova rezervacija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400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238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0,05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</w:rPr>
              <w:t>plaćanje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150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512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0,40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</w:rPr>
              <w:t>mešovito (realno)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1.850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497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0,12</w:t>
            </w:r>
          </w:p>
        </w:tc>
      </w:tr>
    </w:tbl>
    <w:p>
      <w:pPr>
        <w:pStyle w:val="Heading1"/>
      </w:pPr>
      <w:r>
        <w:t>2. Incident u maju</w:t>
      </w:r>
    </w:p>
    <w:p>
      <w:r>
        <w:t>Najveći incident u kvartalu desio se 17. maja: istekao je TLS sertifikat api-gateway-a, pa aplikacija nije bila dostupna 80 minuta. Automatsko obnavljanje sertifikata nije radilo od prelaska na novi DNS nalog u martu, a upozorenje o isteku slalo se na ugašenu e-mail adresu. Posle incidenta obnavljanje je ispravljeno, a upozorenje prebačeno u on-call sistem.</w:t>
      </w:r>
    </w:p>
    <w:p>
      <w:pPr>
        <w:pStyle w:val="Heading1"/>
      </w:pPr>
      <w:r>
        <w:t>3. Brzina učitavanja stranica (LCP)</w:t>
      </w:r>
    </w:p>
    <w:p>
      <w:r>
        <w:t>Slika 1 prikazuje Largest Contentful Paint (LCP) po stranici, merenu kod stvarnih korisnika na mobilnim uređajima. Preporučena granica je 2,5 sekunde.</w:t>
      </w:r>
    </w:p>
    <w:p>
      <w:r>
        <w:drawing>
          <wp:inline xmlns:a="http://schemas.openxmlformats.org/drawingml/2006/main" xmlns:pic="http://schemas.openxmlformats.org/drawingml/2006/picture">
            <wp:extent cx="4608000" cy="29382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zvestaj-performanse-q2-2026.docx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2938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Slika 1. LCP po stranici, mobilni uređaji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Izveštaj o performansama — Q2 2026.</dc:title>
  <dc:subject/>
  <dc:creator>Nexa Tech Solutions d.o.o. (fiktivno)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