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wmf" ContentType="image/x-wmf"/>
  <Override PartName="/word/media/image13.wmf" ContentType="image/x-wmf"/>
  <Override PartName="/word/media/image2.png" ContentType="image/png"/>
  <Override PartName="/word/media/image3.png" ContentType="image/png"/>
  <Override PartName="/word/media/image15.wmf" ContentType="image/x-wmf"/>
  <Override PartName="/word/media/image4.png" ContentType="image/png"/>
  <Override PartName="/word/media/image5.png" ContentType="image/png"/>
  <Override PartName="/word/media/image6.png" ContentType="image/png"/>
  <Override PartName="/word/media/image8.png" ContentType="image/png"/>
  <Override PartName="/word/media/image7.wmf" ContentType="image/x-wmf"/>
  <Override PartName="/word/media/image10.wmf" ContentType="image/x-wmf"/>
  <Override PartName="/word/media/image11.png" ContentType="image/png"/>
  <Override PartName="/word/media/image12.png" ContentType="image/png"/>
  <Override PartName="/word/media/image14.png" ContentType="image/png"/>
  <Override PartName="/word/media/image16.emf" ContentType="image/x-emf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МИНОБРНАУКИ РОССИИ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«Национальный исследовательский университет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«Московский институт электронной техники»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Институт микроприборов и систем управления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Отчет по выполнению домашнего задания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«Расчет канала ВЧ-ячейки»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по дисциплине «Моделирование СВЧ-устройств в среде ADS»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sz w:val="24"/>
        </w:rPr>
        <w:t>Вариант 5.6</w:t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  <w:t>Приемная ячейка усиления и фильтрации с детектированием мощности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tbl>
      <w:tblPr>
        <w:tblStyle w:val="a9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29"/>
        <w:gridCol w:w="1382"/>
        <w:gridCol w:w="2671"/>
      </w:tblGrid>
      <w:tr>
        <w:trPr>
          <w:trHeight w:val="370" w:hRule="atLeast"/>
        </w:trPr>
        <w:tc>
          <w:tcPr>
            <w:tcW w:w="66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Лазба Ф.Б. _________</w:t>
            </w:r>
          </w:p>
        </w:tc>
      </w:tr>
      <w:tr>
        <w:trPr/>
        <w:tc>
          <w:tcPr>
            <w:tcW w:w="66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РТ-33</w:t>
            </w:r>
          </w:p>
        </w:tc>
      </w:tr>
    </w:tbl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  <w:tab/>
        <w:tab/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  <w:t>Москва 2021</w:t>
      </w:r>
    </w:p>
    <w:p>
      <w:pPr>
        <w:pStyle w:val="Normal"/>
        <w:rPr/>
      </w:pPr>
      <w:r>
        <w:rPr/>
        <w:drawing>
          <wp:inline distT="0" distB="0" distL="0" distR="0">
            <wp:extent cx="6152515" cy="22199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/>
      </w:pPr>
      <w:r>
        <w:rPr>
          <w:rStyle w:val="Bold"/>
        </w:rPr>
        <w:t>Рис. 1</w:t>
      </w:r>
      <w:r>
        <w:rPr/>
        <w:t xml:space="preserve"> Базовая структурная схема.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>
          <w:rStyle w:val="Bold"/>
        </w:rPr>
        <w:t>Таблица 1</w:t>
      </w:r>
      <w:r>
        <w:rPr/>
        <w:t xml:space="preserve"> параметры </w:t>
      </w:r>
    </w:p>
    <w:tbl>
      <w:tblPr>
        <w:tblStyle w:val="a9"/>
        <w:tblW w:w="10682" w:type="dxa"/>
        <w:jc w:val="left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75"/>
        <w:gridCol w:w="2268"/>
        <w:gridCol w:w="1985"/>
        <w:gridCol w:w="1276"/>
        <w:gridCol w:w="2778"/>
      </w:tblGrid>
      <w:tr>
        <w:trPr/>
        <w:tc>
          <w:tcPr>
            <w:tcW w:w="2375" w:type="dxa"/>
            <w:tcBorders>
              <w:top w:val="single" w:sz="24" w:space="0" w:color="000000"/>
              <w:left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 w:cstheme="minorHAnsi"/>
                <w:szCs w:val="24"/>
              </w:rPr>
            </w:pPr>
            <w:r>
              <w:rPr>
                <w:rStyle w:val="Fontstyle01"/>
                <w:rFonts w:cs="Times New Roman" w:cstheme="minorHAnsi"/>
                <w:i w:val="false"/>
                <w:sz w:val="28"/>
              </w:rPr>
              <w:t>Fc</w:t>
            </w:r>
            <w:r>
              <w:rPr>
                <w:rStyle w:val="Fontstyle11"/>
                <w:rFonts w:cs="Times New Roman" w:cstheme="minorHAnsi"/>
                <w:sz w:val="28"/>
              </w:rPr>
              <w:t>, ГГц</w:t>
            </w:r>
          </w:p>
        </w:tc>
        <w:tc>
          <w:tcPr>
            <w:tcW w:w="2268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 w:cstheme="minorHAnsi"/>
                <w:szCs w:val="24"/>
              </w:rPr>
            </w:pPr>
            <w:r>
              <w:rPr>
                <w:rStyle w:val="Fontstyle01"/>
                <w:rFonts w:cs="Times New Roman" w:cstheme="minorHAnsi"/>
                <w:i w:val="false"/>
                <w:sz w:val="28"/>
              </w:rPr>
              <w:t>Kp, дБ, не менее</w:t>
            </w:r>
          </w:p>
        </w:tc>
        <w:tc>
          <w:tcPr>
            <w:tcW w:w="1985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 w:cstheme="minorHAnsi"/>
                <w:szCs w:val="24"/>
              </w:rPr>
            </w:pPr>
            <w:r>
              <w:rPr>
                <w:rFonts w:cs="Times New Roman" w:cstheme="minorHAnsi"/>
                <w:szCs w:val="24"/>
              </w:rPr>
              <w:t>ΔF</w:t>
            </w:r>
            <w:r>
              <w:rPr>
                <w:rFonts w:cs="Times New Roman" w:cstheme="minorHAnsi"/>
                <w:szCs w:val="24"/>
                <w:vertAlign w:val="subscript"/>
              </w:rPr>
              <w:t>-3dB</w:t>
            </w:r>
            <w:r>
              <w:rPr>
                <w:rFonts w:cs="Times New Roman" w:cstheme="minorHAnsi"/>
                <w:szCs w:val="24"/>
              </w:rPr>
              <w:t xml:space="preserve"> , ГГц, не менее</w:t>
            </w:r>
          </w:p>
        </w:tc>
        <w:tc>
          <w:tcPr>
            <w:tcW w:w="4054" w:type="dxa"/>
            <w:gridSpan w:val="2"/>
            <w:tcBorders>
              <w:top w:val="single" w:sz="24" w:space="0" w:color="000000"/>
              <w:right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cstheme="minorHAnsi"/>
                <w:szCs w:val="24"/>
              </w:rPr>
              <w:t>∆</w:t>
            </w:r>
            <w:r>
              <w:rPr>
                <w:rFonts w:cs="Cambria Math" w:ascii="Cambria Math" w:hAnsi="Cambria Math"/>
                <w:szCs w:val="24"/>
              </w:rPr>
              <w:t>𝐴</w:t>
            </w:r>
            <w:r>
              <w:rPr>
                <w:rFonts w:cs="Cambria Math" w:ascii="Cambria Math" w:hAnsi="Cambria Math"/>
                <w:szCs w:val="24"/>
                <w:vertAlign w:val="subscript"/>
              </w:rPr>
              <w:t>𝑝𝑎𝑠𝑠</w:t>
            </w:r>
            <w:r>
              <w:rPr>
                <w:rFonts w:cs="Times New Roman" w:cstheme="minorHAnsi"/>
                <w:szCs w:val="24"/>
              </w:rPr>
              <w:t>, дБ, не более</w:t>
            </w:r>
          </w:p>
        </w:tc>
      </w:tr>
      <w:tr>
        <w:trPr>
          <w:trHeight w:val="486" w:hRule="atLeast"/>
        </w:trPr>
        <w:tc>
          <w:tcPr>
            <w:tcW w:w="2375" w:type="dxa"/>
            <w:tcBorders>
              <w:left w:val="single" w:sz="24" w:space="0" w:color="000000"/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Fontstyle01"/>
                <w:rFonts w:ascii="Times New Roman" w:hAnsi="Times New Roman" w:cs="Times New Roman" w:asciiTheme="minorHAnsi" w:cstheme="minorHAnsi" w:hAnsiTheme="minorHAnsi"/>
                <w:i w:val="false"/>
                <w:i w:val="false"/>
                <w:sz w:val="28"/>
              </w:rPr>
            </w:pPr>
            <w:r>
              <w:rPr>
                <w:rStyle w:val="Fontstyle01"/>
                <w:rFonts w:cs="Times New Roman" w:cstheme="minorHAnsi"/>
                <w:i w:val="false"/>
                <w:sz w:val="28"/>
              </w:rPr>
              <w:t>8,5</w:t>
            </w:r>
          </w:p>
        </w:tc>
        <w:tc>
          <w:tcPr>
            <w:tcW w:w="2268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Fontstyle01"/>
                <w:rFonts w:ascii="Times New Roman" w:hAnsi="Times New Roman" w:cs="Times New Roman" w:asciiTheme="minorHAnsi" w:cstheme="minorHAnsi" w:hAnsiTheme="minorHAnsi"/>
                <w:i w:val="false"/>
                <w:i w:val="false"/>
                <w:sz w:val="28"/>
              </w:rPr>
            </w:pPr>
            <w:r>
              <w:rPr>
                <w:rStyle w:val="Fontstyle01"/>
                <w:rFonts w:cs="Times New Roman" w:cstheme="minorHAnsi"/>
                <w:i w:val="false"/>
                <w:sz w:val="28"/>
              </w:rPr>
              <w:t>39</w:t>
            </w:r>
          </w:p>
        </w:tc>
        <w:tc>
          <w:tcPr>
            <w:tcW w:w="1985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 w:cstheme="minorHAnsi"/>
                <w:szCs w:val="24"/>
              </w:rPr>
            </w:pPr>
            <w:r>
              <w:rPr>
                <w:rFonts w:cs="Times New Roman" w:cstheme="minorHAnsi"/>
                <w:szCs w:val="24"/>
              </w:rPr>
              <w:t>0,5</w:t>
            </w:r>
          </w:p>
        </w:tc>
        <w:tc>
          <w:tcPr>
            <w:tcW w:w="4054" w:type="dxa"/>
            <w:gridSpan w:val="2"/>
            <w:tcBorders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 w:cstheme="minorHAnsi"/>
                <w:szCs w:val="24"/>
              </w:rPr>
            </w:pPr>
            <w:r>
              <w:rPr>
                <w:rFonts w:cs="Times New Roman" w:cstheme="minorHAnsi"/>
                <w:szCs w:val="24"/>
              </w:rPr>
              <w:t>3</w:t>
            </w:r>
          </w:p>
        </w:tc>
      </w:tr>
      <w:tr>
        <w:trPr/>
        <w:tc>
          <w:tcPr>
            <w:tcW w:w="2375" w:type="dxa"/>
            <w:tcBorders>
              <w:top w:val="single" w:sz="24" w:space="0" w:color="000000"/>
              <w:left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Fontstyle01"/>
                <w:rFonts w:ascii="Times New Roman" w:hAnsi="Times New Roman" w:cs="Times New Roman" w:asciiTheme="minorHAnsi" w:cstheme="minorHAnsi" w:hAnsiTheme="minorHAnsi"/>
                <w:i w:val="false"/>
                <w:i w:val="false"/>
                <w:sz w:val="28"/>
              </w:rPr>
            </w:pPr>
            <w:r>
              <w:rPr>
                <w:rStyle w:val="Fontstyle01"/>
                <w:rFonts w:cs="Times New Roman" w:cstheme="minorHAnsi"/>
                <w:i w:val="false"/>
                <w:sz w:val="28"/>
              </w:rPr>
              <w:t>Нижний диапазон запирания, Fs1..Fs2, ГГц</w:t>
            </w:r>
          </w:p>
        </w:tc>
        <w:tc>
          <w:tcPr>
            <w:tcW w:w="2268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Fontstyle01"/>
                <w:rFonts w:ascii="Times New Roman" w:hAnsi="Times New Roman" w:cs="Times New Roman" w:asciiTheme="minorHAnsi" w:cstheme="minorHAnsi" w:hAnsiTheme="minorHAnsi"/>
                <w:i w:val="false"/>
                <w:i w:val="false"/>
                <w:sz w:val="28"/>
              </w:rPr>
            </w:pPr>
            <w:r>
              <w:rPr>
                <w:rStyle w:val="Fontstyle01"/>
                <w:rFonts w:cs="Times New Roman" w:cstheme="minorHAnsi"/>
                <w:i w:val="false"/>
                <w:sz w:val="28"/>
              </w:rPr>
              <w:t>Верхний диапазон запирания, Fs3..Fs4, ГГц</w:t>
            </w:r>
          </w:p>
        </w:tc>
        <w:tc>
          <w:tcPr>
            <w:tcW w:w="1985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 w:cstheme="minorHAnsi"/>
                <w:szCs w:val="24"/>
              </w:rPr>
            </w:pPr>
            <w:r>
              <w:rPr>
                <w:rFonts w:cs="Times New Roman" w:cstheme="minorHAnsi"/>
                <w:szCs w:val="24"/>
              </w:rPr>
              <w:t>∆</w:t>
            </w:r>
            <w:r>
              <w:rPr>
                <w:rFonts w:cs="Times New Roman" w:ascii="Cambria Math" w:hAnsi="Cambria Math" w:cstheme="minorHAnsi"/>
                <w:szCs w:val="24"/>
              </w:rPr>
              <w:t>𝐴</w:t>
            </w:r>
            <w:r>
              <w:rPr>
                <w:rFonts w:cs="Times New Roman" w:ascii="Cambria Math" w:hAnsi="Cambria Math" w:cstheme="minorHAnsi"/>
                <w:szCs w:val="24"/>
                <w:vertAlign w:val="subscript"/>
              </w:rPr>
              <w:t>𝑠𝑡𝑜𝑝</w:t>
            </w:r>
            <w:r>
              <w:rPr>
                <w:rFonts w:cs="Times New Roman" w:cstheme="minorHAnsi"/>
                <w:szCs w:val="24"/>
              </w:rPr>
              <w:t>, дБ, не менее</w:t>
            </w:r>
          </w:p>
        </w:tc>
        <w:tc>
          <w:tcPr>
            <w:tcW w:w="1276" w:type="dxa"/>
            <w:tcBorders>
              <w:top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 w:cstheme="minorHAnsi"/>
                <w:szCs w:val="24"/>
              </w:rPr>
            </w:pPr>
            <w:r>
              <w:rPr>
                <w:rFonts w:cs="Times New Roman" w:cstheme="minorHAnsi"/>
                <w:szCs w:val="24"/>
              </w:rPr>
              <w:t>Кш, дБ, не более</w:t>
            </w:r>
          </w:p>
        </w:tc>
        <w:tc>
          <w:tcPr>
            <w:tcW w:w="2778" w:type="dxa"/>
            <w:tcBorders>
              <w:top w:val="single" w:sz="24" w:space="0" w:color="000000"/>
              <w:right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 w:cstheme="minorHAnsi"/>
                <w:szCs w:val="24"/>
              </w:rPr>
            </w:pPr>
            <w:r>
              <w:rPr>
                <w:rFonts w:cs="Times New Roman" w:cstheme="minorHAnsi"/>
                <w:szCs w:val="24"/>
              </w:rPr>
              <w:t>Диапазон ожидаемых входных мощностей, Pin, дБмВт</w:t>
            </w:r>
          </w:p>
        </w:tc>
      </w:tr>
      <w:tr>
        <w:trPr/>
        <w:tc>
          <w:tcPr>
            <w:tcW w:w="2375" w:type="dxa"/>
            <w:tcBorders>
              <w:left w:val="single" w:sz="24" w:space="0" w:color="000000"/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Fontstyle01"/>
                <w:rFonts w:ascii="Times New Roman" w:hAnsi="Times New Roman" w:cs="Times New Roman" w:asciiTheme="minorHAnsi" w:cstheme="minorHAnsi" w:hAnsiTheme="minorHAnsi"/>
                <w:i w:val="false"/>
                <w:i w:val="false"/>
                <w:sz w:val="28"/>
              </w:rPr>
            </w:pPr>
            <w:r>
              <w:rPr>
                <w:rStyle w:val="Fontstyle01"/>
                <w:rFonts w:cs="Times New Roman" w:cstheme="minorHAnsi"/>
                <w:i w:val="false"/>
                <w:sz w:val="28"/>
              </w:rPr>
              <w:t>7,3…7,85</w:t>
            </w:r>
          </w:p>
        </w:tc>
        <w:tc>
          <w:tcPr>
            <w:tcW w:w="2268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Fontstyle01"/>
                <w:rFonts w:ascii="Times New Roman" w:hAnsi="Times New Roman" w:cs="Times New Roman" w:asciiTheme="minorHAnsi" w:cstheme="minorHAnsi" w:hAnsiTheme="minorHAnsi"/>
                <w:i w:val="false"/>
                <w:i w:val="false"/>
                <w:sz w:val="28"/>
              </w:rPr>
            </w:pPr>
            <w:r>
              <w:rPr>
                <w:rStyle w:val="Fontstyle01"/>
                <w:rFonts w:cs="Times New Roman" w:cstheme="minorHAnsi"/>
                <w:i w:val="false"/>
                <w:sz w:val="28"/>
              </w:rPr>
              <w:t>9,1…9,6</w:t>
            </w:r>
          </w:p>
        </w:tc>
        <w:tc>
          <w:tcPr>
            <w:tcW w:w="1985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 w:cstheme="minorHAnsi"/>
                <w:szCs w:val="24"/>
              </w:rPr>
            </w:pPr>
            <w:r>
              <w:rPr>
                <w:rFonts w:cs="Times New Roman" w:cstheme="minorHAnsi"/>
                <w:szCs w:val="24"/>
              </w:rPr>
              <w:t>33</w:t>
            </w:r>
          </w:p>
        </w:tc>
        <w:tc>
          <w:tcPr>
            <w:tcW w:w="1276" w:type="dxa"/>
            <w:tcBorders>
              <w:bottom w:val="single" w:sz="24" w:space="0" w:color="000000"/>
              <w:insideH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 w:cstheme="minorHAnsi"/>
                <w:szCs w:val="24"/>
              </w:rPr>
            </w:pPr>
            <w:r>
              <w:rPr>
                <w:rFonts w:cs="Times New Roman" w:cstheme="minorHAnsi"/>
                <w:szCs w:val="24"/>
              </w:rPr>
              <w:t>3,3</w:t>
            </w:r>
          </w:p>
        </w:tc>
        <w:tc>
          <w:tcPr>
            <w:tcW w:w="2778" w:type="dxa"/>
            <w:tcBorders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 w:cstheme="minorHAnsi"/>
                <w:szCs w:val="24"/>
              </w:rPr>
            </w:pPr>
            <w:r>
              <w:rPr>
                <w:rFonts w:cs="Times New Roman" w:cstheme="minorHAnsi"/>
                <w:szCs w:val="24"/>
              </w:rPr>
              <w:t>-42…-15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635">
            <wp:extent cx="6152515" cy="353250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Style w:val="Bold"/>
        </w:rPr>
        <w:t>Рис. 2</w:t>
      </w:r>
      <w:r>
        <w:rPr/>
        <w:t xml:space="preserve"> – Пояснение к ТЗ на АЧХ канала</w:t>
      </w:r>
    </w:p>
    <w:p>
      <w:pPr>
        <w:pStyle w:val="Normal"/>
        <w:rPr>
          <w:rFonts w:ascii="Times New Roman" w:hAnsi="Times New Roman" w:cs="Times New Roman"/>
          <w:i/>
          <w:i/>
          <w:iCs/>
          <w:color w:val="000000"/>
          <w:sz w:val="26"/>
          <w:szCs w:val="26"/>
        </w:rPr>
      </w:pPr>
      <w:r>
        <w:rPr>
          <w:rFonts w:cs="Times New Roman"/>
          <w:i/>
          <w:iCs/>
          <w:color w:val="000000"/>
          <w:sz w:val="26"/>
          <w:szCs w:val="26"/>
        </w:rPr>
        <w:t>Общие условия и пояснения:</w:t>
      </w:r>
    </w:p>
    <w:p>
      <w:pPr>
        <w:pStyle w:val="Normal"/>
        <w:rPr/>
      </w:pPr>
      <w:r>
        <w:rPr>
          <w:rFonts w:cs="Times New Roman"/>
          <w:color w:val="000000"/>
          <w:sz w:val="26"/>
          <w:szCs w:val="26"/>
        </w:rPr>
        <w:t>1. КСВН по всем ВЧ-входам и ВЧ-выходам должен быть не более 1,5 в рабочей полосе частот.</w:t>
      </w:r>
      <w:r>
        <w:rPr>
          <w:color w:val="000000"/>
          <w:sz w:val="26"/>
          <w:szCs w:val="26"/>
        </w:rPr>
        <w:br/>
      </w:r>
      <w:r>
        <w:rPr>
          <w:rFonts w:cs="Times New Roman"/>
          <w:color w:val="000000"/>
          <w:sz w:val="26"/>
          <w:szCs w:val="26"/>
        </w:rPr>
        <w:t>2. Усилители МШУ1 и МШУ2 не обязательно должны быть одним устройством, могут являться каскадными.</w:t>
      </w:r>
      <w:r>
        <w:rPr>
          <w:color w:val="000000"/>
          <w:sz w:val="26"/>
          <w:szCs w:val="26"/>
        </w:rPr>
        <w:br/>
      </w:r>
      <w:r>
        <w:rPr>
          <w:rFonts w:cs="Times New Roman"/>
          <w:color w:val="000000"/>
          <w:sz w:val="26"/>
          <w:szCs w:val="26"/>
        </w:rPr>
        <w:t>3. Предпочтительно чтобы первым устройством был фильтр Ф1, однако, если из-за потерь на фильтре Ф1 невозможно удовлетворить на Кш, то первый МШУ с минимальным коэффициентом шума можно поставить первым.</w:t>
      </w:r>
      <w:r>
        <w:rPr>
          <w:color w:val="000000"/>
          <w:sz w:val="26"/>
          <w:szCs w:val="26"/>
        </w:rPr>
        <w:br/>
      </w:r>
      <w:r>
        <w:rPr>
          <w:rFonts w:cs="Times New Roman"/>
          <w:color w:val="000000"/>
          <w:sz w:val="26"/>
          <w:szCs w:val="26"/>
        </w:rPr>
        <w:t xml:space="preserve">4. Рабочий диапазон частот </w:t>
      </w:r>
      <w:r>
        <w:rPr>
          <w:rFonts w:cs="Cambria Math" w:ascii="Cambria Math" w:hAnsi="Cambria Math"/>
          <w:color w:val="000000"/>
          <w:sz w:val="26"/>
          <w:szCs w:val="26"/>
        </w:rPr>
        <w:t>𝐹</w:t>
      </w:r>
      <w:r>
        <w:rPr>
          <w:rFonts w:cs="Cambria Math" w:ascii="Cambria Math" w:hAnsi="Cambria Math"/>
          <w:color w:val="000000"/>
          <w:szCs w:val="28"/>
          <w:vertAlign w:val="subscript"/>
        </w:rPr>
        <w:t>𝑝</w:t>
      </w:r>
      <w:r>
        <w:rPr>
          <w:rFonts w:cs="Times New Roman" w:cstheme="minorHAnsi"/>
          <w:color w:val="000000"/>
          <w:szCs w:val="28"/>
          <w:vertAlign w:val="subscript"/>
        </w:rPr>
        <w:t>1</w:t>
      </w:r>
      <w:r>
        <w:rPr>
          <w:rFonts w:ascii="Cambria Math" w:hAnsi="Cambria Math"/>
          <w:color w:val="000000"/>
          <w:sz w:val="26"/>
          <w:szCs w:val="26"/>
        </w:rPr>
        <w:t xml:space="preserve">. . </w:t>
      </w:r>
      <w:r>
        <w:rPr>
          <w:rFonts w:cs="Cambria Math" w:ascii="Cambria Math" w:hAnsi="Cambria Math"/>
          <w:color w:val="000000"/>
          <w:sz w:val="26"/>
          <w:szCs w:val="26"/>
        </w:rPr>
        <w:t>𝐹</w:t>
      </w:r>
      <w:r>
        <w:rPr>
          <w:rFonts w:cs="Cambria Math" w:ascii="Cambria Math" w:hAnsi="Cambria Math"/>
          <w:color w:val="000000"/>
          <w:szCs w:val="28"/>
          <w:vertAlign w:val="subscript"/>
        </w:rPr>
        <w:t>𝑝</w:t>
      </w:r>
      <w:r>
        <w:rPr>
          <w:rFonts w:cs="Times New Roman" w:cstheme="minorHAnsi"/>
          <w:color w:val="000000"/>
          <w:szCs w:val="28"/>
          <w:vertAlign w:val="subscript"/>
        </w:rPr>
        <w:t>2</w:t>
      </w:r>
      <w:r>
        <w:rPr>
          <w:rFonts w:ascii="Cambria Math" w:hAnsi="Cambria Math"/>
          <w:color w:val="000000"/>
          <w:sz w:val="18"/>
          <w:szCs w:val="18"/>
        </w:rPr>
        <w:t xml:space="preserve"> </w:t>
      </w:r>
      <w:r>
        <w:rPr>
          <w:rFonts w:cs="Times New Roman"/>
          <w:color w:val="000000"/>
          <w:sz w:val="26"/>
          <w:szCs w:val="26"/>
        </w:rPr>
        <w:t xml:space="preserve">определяется как размах </w:t>
      </w:r>
      <w:r>
        <w:rPr>
          <w:rFonts w:ascii="Cambria Math" w:hAnsi="Cambria Math"/>
          <w:color w:val="000000"/>
          <w:sz w:val="26"/>
          <w:szCs w:val="26"/>
        </w:rPr>
        <w:t>Δ</w:t>
      </w:r>
      <w:r>
        <w:rPr>
          <w:rFonts w:cs="Cambria Math" w:ascii="Cambria Math" w:hAnsi="Cambria Math"/>
          <w:color w:val="000000"/>
          <w:sz w:val="26"/>
          <w:szCs w:val="26"/>
        </w:rPr>
        <w:t>𝐹</w:t>
      </w:r>
      <w:r>
        <w:rPr>
          <w:rFonts w:cs="Times New Roman" w:cstheme="minorHAnsi"/>
          <w:color w:val="000000"/>
          <w:szCs w:val="28"/>
          <w:vertAlign w:val="subscript"/>
        </w:rPr>
        <w:t>-3</w:t>
      </w:r>
      <w:r>
        <w:rPr>
          <w:rFonts w:cs="Cambria Math" w:ascii="Cambria Math" w:hAnsi="Cambria Math"/>
          <w:color w:val="000000"/>
          <w:szCs w:val="28"/>
          <w:vertAlign w:val="subscript"/>
        </w:rPr>
        <w:t>𝑑𝐵</w:t>
      </w:r>
      <w:r>
        <w:rPr>
          <w:rFonts w:cs="Cambria Math" w:ascii="Cambria Math" w:hAnsi="Cambria Math"/>
          <w:color w:val="000000"/>
          <w:sz w:val="22"/>
          <w:szCs w:val="18"/>
        </w:rPr>
        <w:t xml:space="preserve"> </w:t>
      </w:r>
      <w:r>
        <w:rPr>
          <w:rFonts w:cs="Times New Roman"/>
          <w:color w:val="000000"/>
          <w:sz w:val="26"/>
          <w:szCs w:val="26"/>
        </w:rPr>
        <w:t xml:space="preserve">относительно центральной частоты </w:t>
      </w:r>
      <w:r>
        <w:rPr>
          <w:rFonts w:cs="Times New Roman"/>
          <w:i/>
          <w:iCs/>
          <w:color w:val="000000"/>
          <w:sz w:val="26"/>
          <w:szCs w:val="26"/>
        </w:rPr>
        <w:t>F</w:t>
      </w:r>
      <w:r>
        <w:rPr>
          <w:rFonts w:cs="Times New Roman" w:cstheme="minorHAnsi"/>
          <w:i/>
          <w:iCs/>
          <w:color w:val="000000"/>
          <w:szCs w:val="28"/>
          <w:vertAlign w:val="subscript"/>
        </w:rPr>
        <w:t>c</w:t>
      </w:r>
      <w:r>
        <w:rPr>
          <w:rFonts w:cs="Times New Roman"/>
          <w:color w:val="000000"/>
          <w:sz w:val="26"/>
          <w:szCs w:val="26"/>
        </w:rPr>
        <w:t xml:space="preserve">, т.е. </w:t>
      </w:r>
      <w:r>
        <w:rPr>
          <w:rFonts w:cs="Cambria Math" w:ascii="Cambria Math" w:hAnsi="Cambria Math"/>
          <w:color w:val="000000"/>
          <w:sz w:val="26"/>
          <w:szCs w:val="26"/>
        </w:rPr>
        <w:t>𝐹</w:t>
      </w:r>
      <w:r>
        <w:rPr>
          <w:rFonts w:cs="Cambria Math" w:ascii="Cambria Math" w:hAnsi="Cambria Math"/>
          <w:color w:val="000000"/>
          <w:szCs w:val="28"/>
          <w:vertAlign w:val="subscript"/>
        </w:rPr>
        <w:t>𝑝</w:t>
      </w:r>
      <w:r>
        <w:rPr>
          <w:rFonts w:cs="Times New Roman" w:cstheme="minorHAnsi"/>
          <w:color w:val="000000"/>
          <w:szCs w:val="28"/>
          <w:vertAlign w:val="subscript"/>
        </w:rPr>
        <w:t>1</w:t>
      </w:r>
      <w:r>
        <w:rPr>
          <w:rFonts w:ascii="Cambria Math" w:hAnsi="Cambria Math"/>
          <w:color w:val="000000"/>
          <w:sz w:val="18"/>
          <w:szCs w:val="18"/>
        </w:rPr>
        <w:t xml:space="preserve"> </w:t>
      </w:r>
      <w:r>
        <w:rPr>
          <w:rFonts w:ascii="Cambria Math" w:hAnsi="Cambria Math"/>
          <w:color w:val="000000"/>
          <w:sz w:val="26"/>
          <w:szCs w:val="26"/>
        </w:rPr>
        <w:t xml:space="preserve">= </w:t>
      </w:r>
      <w:r>
        <w:rPr>
          <w:rFonts w:cs="Cambria Math" w:ascii="Cambria Math" w:hAnsi="Cambria Math"/>
          <w:color w:val="000000"/>
          <w:sz w:val="26"/>
          <w:szCs w:val="26"/>
        </w:rPr>
        <w:t>𝐹</w:t>
      </w:r>
      <w:r>
        <w:rPr>
          <w:rFonts w:cs="Cambria Math" w:ascii="Cambria Math" w:hAnsi="Cambria Math"/>
          <w:color w:val="000000"/>
          <w:szCs w:val="28"/>
          <w:vertAlign w:val="subscript"/>
        </w:rPr>
        <w:t>𝑐</w:t>
      </w:r>
      <w:r>
        <w:rPr>
          <w:rFonts w:ascii="Cambria Math" w:hAnsi="Cambria Math"/>
          <w:color w:val="000000"/>
          <w:sz w:val="18"/>
          <w:szCs w:val="18"/>
        </w:rPr>
        <w:t xml:space="preserve"> </w:t>
      </w:r>
      <w:r>
        <w:rPr>
          <w:rFonts w:ascii="Cambria Math" w:hAnsi="Cambria Math"/>
          <w:color w:val="000000"/>
          <w:sz w:val="26"/>
          <w:szCs w:val="26"/>
        </w:rPr>
        <w:t>- 0,5Δ</w:t>
      </w:r>
      <w:r>
        <w:rPr>
          <w:rFonts w:cs="Cambria Math" w:ascii="Cambria Math" w:hAnsi="Cambria Math"/>
          <w:color w:val="000000"/>
          <w:sz w:val="26"/>
          <w:szCs w:val="26"/>
        </w:rPr>
        <w:t>𝐹</w:t>
      </w:r>
      <w:r>
        <w:rPr>
          <w:rFonts w:cs="Times New Roman" w:cstheme="minorHAnsi"/>
          <w:color w:val="000000"/>
          <w:szCs w:val="28"/>
          <w:vertAlign w:val="subscript"/>
        </w:rPr>
        <w:t>-3</w:t>
      </w:r>
      <w:r>
        <w:rPr>
          <w:rFonts w:cs="Cambria Math" w:ascii="Cambria Math" w:hAnsi="Cambria Math"/>
          <w:color w:val="000000"/>
          <w:szCs w:val="28"/>
          <w:vertAlign w:val="subscript"/>
        </w:rPr>
        <w:t>𝑑𝐵</w:t>
      </w:r>
      <w:r>
        <w:rPr>
          <w:rFonts w:ascii="Cambria Math" w:hAnsi="Cambria Math"/>
          <w:color w:val="000000"/>
          <w:sz w:val="22"/>
          <w:szCs w:val="18"/>
        </w:rPr>
        <w:t xml:space="preserve"> </w:t>
      </w:r>
      <w:r>
        <w:rPr>
          <w:rFonts w:cs="Times New Roman"/>
          <w:color w:val="000000"/>
          <w:sz w:val="26"/>
          <w:szCs w:val="26"/>
        </w:rPr>
        <w:t xml:space="preserve">и </w:t>
      </w:r>
      <w:r>
        <w:rPr>
          <w:rFonts w:cs="Cambria Math" w:ascii="Cambria Math" w:hAnsi="Cambria Math"/>
          <w:color w:val="000000"/>
          <w:sz w:val="26"/>
          <w:szCs w:val="26"/>
        </w:rPr>
        <w:t>𝐹</w:t>
      </w:r>
      <w:r>
        <w:rPr>
          <w:rFonts w:cs="Cambria Math" w:ascii="Cambria Math" w:hAnsi="Cambria Math"/>
          <w:color w:val="000000"/>
          <w:szCs w:val="28"/>
          <w:vertAlign w:val="subscript"/>
        </w:rPr>
        <w:t>𝑝</w:t>
      </w:r>
      <w:r>
        <w:rPr>
          <w:rFonts w:cs="Times New Roman" w:cstheme="minorHAnsi"/>
          <w:color w:val="000000"/>
          <w:szCs w:val="28"/>
          <w:vertAlign w:val="subscript"/>
        </w:rPr>
        <w:t>2</w:t>
      </w:r>
      <w:r>
        <w:rPr>
          <w:rFonts w:ascii="Cambria Math" w:hAnsi="Cambria Math"/>
          <w:color w:val="000000"/>
          <w:sz w:val="18"/>
          <w:szCs w:val="18"/>
        </w:rPr>
        <w:t xml:space="preserve"> </w:t>
      </w:r>
      <w:r>
        <w:rPr>
          <w:rFonts w:ascii="Cambria Math" w:hAnsi="Cambria Math"/>
          <w:color w:val="000000"/>
          <w:sz w:val="26"/>
          <w:szCs w:val="26"/>
        </w:rPr>
        <w:t xml:space="preserve">= </w:t>
      </w:r>
      <w:r>
        <w:rPr>
          <w:rFonts w:cs="Cambria Math" w:ascii="Cambria Math" w:hAnsi="Cambria Math"/>
          <w:color w:val="000000"/>
          <w:sz w:val="26"/>
          <w:szCs w:val="26"/>
        </w:rPr>
        <w:t>𝐹</w:t>
      </w:r>
      <w:r>
        <w:rPr>
          <w:rFonts w:cs="Cambria Math" w:ascii="Cambria Math" w:hAnsi="Cambria Math"/>
          <w:color w:val="000000"/>
          <w:sz w:val="18"/>
          <w:szCs w:val="18"/>
        </w:rPr>
        <w:t>𝑐</w:t>
      </w:r>
      <w:r>
        <w:rPr>
          <w:rFonts w:ascii="Cambria Math" w:hAnsi="Cambria Math"/>
          <w:color w:val="000000"/>
          <w:sz w:val="18"/>
          <w:szCs w:val="18"/>
        </w:rPr>
        <w:t xml:space="preserve"> </w:t>
      </w:r>
      <w:r>
        <w:rPr>
          <w:rFonts w:ascii="Cambria Math" w:hAnsi="Cambria Math"/>
          <w:color w:val="000000"/>
          <w:sz w:val="26"/>
          <w:szCs w:val="26"/>
        </w:rPr>
        <w:t>+0,5Δ</w:t>
      </w:r>
      <w:r>
        <w:rPr>
          <w:rFonts w:cs="Cambria Math" w:ascii="Cambria Math" w:hAnsi="Cambria Math"/>
          <w:color w:val="000000"/>
          <w:sz w:val="26"/>
          <w:szCs w:val="26"/>
        </w:rPr>
        <w:t>𝐹</w:t>
      </w:r>
      <w:r>
        <w:rPr>
          <w:rFonts w:cs="Times New Roman" w:cstheme="minorHAnsi"/>
          <w:color w:val="000000"/>
          <w:szCs w:val="18"/>
          <w:vertAlign w:val="subscript"/>
        </w:rPr>
        <w:t>-3</w:t>
      </w:r>
      <w:r>
        <w:rPr>
          <w:rFonts w:cs="Cambria Math" w:ascii="Cambria Math" w:hAnsi="Cambria Math"/>
          <w:color w:val="000000"/>
          <w:szCs w:val="18"/>
          <w:vertAlign w:val="subscript"/>
        </w:rPr>
        <w:t>𝑑𝐵</w:t>
      </w:r>
      <w:r>
        <w:rPr>
          <w:rFonts w:cs="Times New Roman" w:cstheme="minorHAnsi"/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br/>
      </w:r>
      <w:r>
        <w:rPr>
          <w:rFonts w:cs="Times New Roman"/>
          <w:color w:val="000000"/>
          <w:sz w:val="26"/>
          <w:szCs w:val="26"/>
        </w:rPr>
        <w:t>5. Ячейка должна быть способна корректно измерять возможные значения входной мощности Pin. Это означает, что данный диапазон возможной входной мощности с учетом прохождения через канал (МШУ, ППФ, ответвление в вторичное плечо НО) должен попадать в динамический диапазон измеряемой мощности детектора мощности в рабочей полосе частот</w:t>
      </w:r>
    </w:p>
    <w:sdt>
      <w:sdtPr>
        <w:docPartObj>
          <w:docPartGallery w:val="Table of Contents"/>
          <w:docPartUnique w:val="true"/>
        </w:docPartObj>
        <w:id w:val="435704528"/>
      </w:sdtPr>
      <w:sdtContent>
        <w:p>
          <w:pPr>
            <w:pStyle w:val="TOCHeading"/>
            <w:rPr/>
          </w:pPr>
          <w:r>
            <w:rPr>
              <w:rStyle w:val="11"/>
            </w:rPr>
            <w:t>Оглавление</w:t>
          </w:r>
        </w:p>
        <w:p>
          <w:pPr>
            <w:pStyle w:val="12"/>
            <w:tabs>
              <w:tab w:val="right" w:pos="10456" w:leader="dot"/>
            </w:tabs>
            <w:rPr>
              <w:rFonts w:eastAsia="" w:eastAsiaTheme="minorEastAsia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8"/>
            </w:rPr>
            <w:instrText> TOC \z \o "1-3" \u \h</w:instrText>
          </w:r>
          <w:r>
            <w:rPr>
              <w:webHidden/>
              <w:rStyle w:val="Style18"/>
            </w:rPr>
            <w:fldChar w:fldCharType="separate"/>
          </w:r>
          <w:hyperlink w:anchor="_Toc72588875">
            <w:r>
              <w:rPr>
                <w:webHidden/>
                <w:rStyle w:val="Style18"/>
              </w:rPr>
              <w:t>Часть 1. Поиск ВЧ-компонентов.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_Toc72588875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10456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72588876">
            <w:r>
              <w:rPr>
                <w:webHidden/>
                <w:rStyle w:val="Style18"/>
              </w:rPr>
              <w:t>1.1 Выбор МШУ: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_Toc72588876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10456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72588877">
            <w:r>
              <w:rPr>
                <w:webHidden/>
                <w:rStyle w:val="Style18"/>
              </w:rPr>
              <w:t>1.2 Выбор детектора мощности: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_Toc72588877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10456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72588878">
            <w:r>
              <w:rPr>
                <w:webHidden/>
                <w:rStyle w:val="Style18"/>
              </w:rPr>
              <w:t>Часть 2. Проектирование полосковых устройств и согласование компонентов.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_Toc72588878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10456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72588879">
            <w:r>
              <w:rPr>
                <w:webHidden/>
                <w:rStyle w:val="Style18"/>
              </w:rPr>
              <w:t>2.1 Проектирование фильтра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_Toc72588879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10456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72588880">
            <w:r>
              <w:rPr>
                <w:webHidden/>
                <w:rStyle w:val="Style18"/>
                <w:lang w:val="en-US"/>
              </w:rPr>
              <w:t>2</w:t>
            </w:r>
            <w:r>
              <w:rPr>
                <w:rStyle w:val="Style18"/>
              </w:rPr>
              <w:t>.2 Проектирование ответвителя.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_Toc72588880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10456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72588881">
            <w:r>
              <w:rPr>
                <w:webHidden/>
                <w:rStyle w:val="Style18"/>
              </w:rPr>
              <w:t xml:space="preserve">2.3 МШУ 1 — </w:t>
            </w:r>
            <w:r>
              <w:rPr>
                <w:rStyle w:val="Style18"/>
                <w:lang w:val="en-US"/>
              </w:rPr>
              <w:t>PMA</w:t>
            </w:r>
            <w:r>
              <w:rPr>
                <w:rStyle w:val="Style18"/>
              </w:rPr>
              <w:t>-183</w:t>
            </w:r>
            <w:r>
              <w:rPr>
                <w:rStyle w:val="Style18"/>
                <w:lang w:val="en-US"/>
              </w:rPr>
              <w:t>PLN</w:t>
            </w:r>
            <w:r>
              <w:rPr>
                <w:rStyle w:val="Style18"/>
              </w:rPr>
              <w:t>+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_Toc72588881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10456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72588882">
            <w:r>
              <w:rPr>
                <w:webHidden/>
                <w:rStyle w:val="Style18"/>
              </w:rPr>
              <w:t>Часть 3. Общее моделирование.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_Toc72588882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0" w:name="_Toc72588875"/>
      <w:r>
        <w:rPr/>
        <w:t>Часть 1. Поиск ВЧ-компонентов.</w:t>
      </w:r>
      <w:bookmarkEnd w:id="0"/>
    </w:p>
    <w:p>
      <w:pPr>
        <w:pStyle w:val="2"/>
        <w:rPr/>
      </w:pPr>
      <w:bookmarkStart w:id="1" w:name="_Toc72588876"/>
      <w:r>
        <w:rPr/>
        <w:t>1.1 Выбор МШУ:</w:t>
      </w:r>
      <w:bookmarkEnd w:id="1"/>
    </w:p>
    <w:p>
      <w:pPr>
        <w:pStyle w:val="Normal"/>
        <w:rPr>
          <w:rFonts w:eastAsia="" w:eastAsiaTheme="minorEastAsia"/>
        </w:rPr>
      </w:pPr>
      <w:r>
        <w:rPr/>
        <w:t xml:space="preserve">Пусть фильтр «съедает» 5дБ и НО — 1дБ. Тогда усилители должны суммарно давать не менее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39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45</m:t>
        </m:r>
        <m:r>
          <w:rPr>
            <w:rFonts w:ascii="Cambria Math" w:hAnsi="Cambria Math"/>
          </w:rPr>
          <m:t xml:space="preserve">дБ</m:t>
        </m:r>
      </m:oMath>
      <w:r>
        <w:rPr>
          <w:rFonts w:eastAsia="" w:eastAsiaTheme="minorEastAsia"/>
        </w:rPr>
        <w:t xml:space="preserve"> усиления. </w:t>
      </w:r>
    </w:p>
    <w:p>
      <w:pPr>
        <w:pStyle w:val="Normal"/>
        <w:rPr/>
      </w:pPr>
      <w:r>
        <w:rPr>
          <w:rFonts w:eastAsia="" w:eastAsiaTheme="minorEastAsia"/>
        </w:rPr>
        <w:t xml:space="preserve">На роль МШУ возьмём </w:t>
      </w:r>
      <w:hyperlink r:id="rId4">
        <w:r>
          <w:rPr>
            <w:rStyle w:val="Style15"/>
          </w:rPr>
          <w:t>PMA-183PLN+</w:t>
        </w:r>
      </w:hyperlink>
      <w:r>
        <w:rPr/>
        <w:t xml:space="preserve">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28340" cy="2230755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Style w:val="Bold"/>
        </w:rPr>
        <w:t>Рис 1.1</w:t>
      </w:r>
      <w:r>
        <w:rPr/>
        <w:t xml:space="preserve"> График </w:t>
      </w:r>
      <w:r>
        <w:rPr>
          <w:lang w:val="en-US"/>
        </w:rPr>
        <w:t>S</w:t>
      </w:r>
      <w:r>
        <w:rPr/>
        <w:t>-параметров МШУ</w:t>
      </w:r>
    </w:p>
    <w:p>
      <w:pPr>
        <w:pStyle w:val="Normal"/>
        <w:rPr/>
      </w:pPr>
      <w:r>
        <w:rPr/>
        <w:t>Заявленных 25 дБ «хватит всем».</w:t>
      </w:r>
    </w:p>
    <w:p>
      <w:pPr>
        <w:pStyle w:val="2"/>
        <w:rPr/>
      </w:pPr>
      <w:bookmarkStart w:id="2" w:name="_Toc72588877"/>
      <w:r>
        <w:rPr/>
        <w:t>1.2 Выбор детектора мощности:</w:t>
      </w:r>
      <w:bookmarkEnd w:id="2"/>
    </w:p>
    <w:p>
      <w:pPr>
        <w:pStyle w:val="Normal"/>
        <w:rPr>
          <w:rStyle w:val="Style15"/>
        </w:rPr>
      </w:pPr>
      <w:r>
        <w:rPr/>
        <w:t xml:space="preserve">Перст судьбы указывает на </w:t>
      </w:r>
      <w:hyperlink r:id="rId6">
        <w:r>
          <w:rPr>
            <w:rStyle w:val="Style15"/>
          </w:rPr>
          <w:t>LTC5597</w:t>
        </w:r>
      </w:hyperlink>
      <w:r>
        <w:rPr>
          <w:rStyle w:val="Style15"/>
        </w:rPr>
        <w:t>.</w:t>
      </w:r>
    </w:p>
    <w:p>
      <w:pPr>
        <w:pStyle w:val="Normal"/>
        <w:jc w:val="center"/>
        <w:rPr/>
      </w:pPr>
      <w:r>
        <w:rPr/>
        <w:drawing>
          <wp:inline distT="0" distB="6350" distL="0" distR="0">
            <wp:extent cx="5132705" cy="2774950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  <w:bCs/>
        </w:rPr>
        <w:t>Рис 1.2</w:t>
      </w:r>
      <w:r>
        <w:rPr/>
        <w:t xml:space="preserve"> Диапазон возможных входных мощностей.</w:t>
      </w:r>
    </w:p>
    <w:p>
      <w:pPr>
        <w:pStyle w:val="Normal"/>
        <w:rPr/>
      </w:pPr>
      <w:r>
        <w:rPr/>
        <w:t xml:space="preserve">Основываясь на графиках с </w:t>
      </w:r>
      <w:r>
        <w:rPr>
          <w:i/>
          <w:iCs/>
        </w:rPr>
        <w:t>Рис. 1.2</w:t>
      </w:r>
      <w:r>
        <w:rPr/>
        <w:t xml:space="preserve"> и диапазоне входных мощностей из ТЗ, понимаем, что нужно будет ответвлять порядка -40 дБ. </w:t>
      </w:r>
      <w:r>
        <w:br w:type="page"/>
      </w:r>
    </w:p>
    <w:p>
      <w:pPr>
        <w:pStyle w:val="1"/>
        <w:rPr/>
      </w:pPr>
      <w:bookmarkStart w:id="3" w:name="_Toc72588878"/>
      <w:r>
        <w:rPr/>
        <w:t>Часть 2. Проектирование полосковых устройств и согласование компонентов.</w:t>
      </w:r>
      <w:bookmarkEnd w:id="3"/>
    </w:p>
    <w:p>
      <w:pPr>
        <w:pStyle w:val="2"/>
        <w:rPr/>
      </w:pPr>
      <w:bookmarkStart w:id="4" w:name="_Toc72588879"/>
      <w:r>
        <w:rPr/>
        <w:t>2.1 Проектирование фильтра</w:t>
      </w:r>
      <w:bookmarkEnd w:id="4"/>
    </w:p>
    <w:p>
      <w:pPr>
        <w:pStyle w:val="Normal"/>
        <w:rPr/>
      </w:pPr>
      <w:r>
        <w:rPr/>
        <w:t>Проектировать будем на подложке RO4003 0.5 oz ED 20 mil (Er = 3.38, Ur = 1, Tand = 0.0027, T = 17 мкм, H = 0.508 мм).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944620" cy="2210435"/>
            <wp:effectExtent l="0" t="0" r="0" b="0"/>
            <wp:docPr id="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1270" distL="0" distR="8255">
            <wp:extent cx="2639695" cy="1942465"/>
            <wp:effectExtent l="0" t="0" r="0" b="0"/>
            <wp:docPr id="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Style w:val="Bold"/>
        </w:rPr>
        <w:t>Рис 2.1.1</w:t>
      </w:r>
      <w:r>
        <w:rPr/>
        <w:t xml:space="preserve"> Схема и параметры схемы фильтра</w:t>
      </w:r>
    </w:p>
    <w:p>
      <w:pPr>
        <w:pStyle w:val="Normal"/>
        <w:jc w:val="center"/>
        <w:rPr/>
      </w:pPr>
      <w:r>
        <w:rPr/>
        <w:drawing>
          <wp:inline distT="0" distB="3175" distL="0" distR="0">
            <wp:extent cx="4651375" cy="2359025"/>
            <wp:effectExtent l="0" t="0" r="0" b="0"/>
            <wp:docPr id="7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Style w:val="Bold"/>
        </w:rPr>
        <w:t xml:space="preserve">Рис </w:t>
      </w:r>
      <w:r>
        <w:rPr>
          <w:rStyle w:val="Bold"/>
          <w:lang w:val="en-US"/>
        </w:rPr>
        <w:t>2</w:t>
      </w:r>
      <w:r>
        <w:rPr>
          <w:rStyle w:val="Bold"/>
        </w:rPr>
        <w:t>.1.2</w:t>
      </w:r>
      <w:r>
        <w:rPr/>
        <w:t xml:space="preserve"> Топология фильтра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21100" cy="1740535"/>
            <wp:effectExtent l="0" t="0" r="0" b="0"/>
            <wp:docPr id="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Style w:val="Bold"/>
        </w:rPr>
        <w:t xml:space="preserve">Рис </w:t>
      </w:r>
      <w:r>
        <w:rPr>
          <w:rStyle w:val="Bold"/>
          <w:lang w:val="en-US"/>
        </w:rPr>
        <w:t>2</w:t>
      </w:r>
      <w:r>
        <w:rPr>
          <w:rStyle w:val="Bold"/>
        </w:rPr>
        <w:t>.1.3</w:t>
      </w:r>
      <w:r>
        <w:rPr/>
        <w:t xml:space="preserve"> Характеристики фильтра</w:t>
      </w:r>
    </w:p>
    <w:p>
      <w:pPr>
        <w:pStyle w:val="Normal"/>
        <w:rPr/>
      </w:pPr>
      <w:r>
        <w:rPr/>
        <w:t xml:space="preserve">Сохраним фильтр как файл </w:t>
      </w:r>
      <w:r>
        <w:rPr>
          <w:lang w:val="en-US"/>
        </w:rPr>
        <w:t>S</w:t>
      </w:r>
      <w:r>
        <w:rPr/>
        <w:t>-параметров.</w:t>
      </w:r>
    </w:p>
    <w:p>
      <w:pPr>
        <w:pStyle w:val="2"/>
        <w:rPr/>
      </w:pPr>
      <w:bookmarkStart w:id="5" w:name="_Toc72588880"/>
      <w:r>
        <w:rPr>
          <w:lang w:val="en-US"/>
        </w:rPr>
        <w:t>2</w:t>
      </w:r>
      <w:r>
        <w:rPr/>
        <w:t>.2 Проектирование ответвителя.</w:t>
      </w:r>
      <w:bookmarkEnd w:id="5"/>
    </w:p>
    <w:p>
      <w:pPr>
        <w:pStyle w:val="Normal"/>
        <w:rPr/>
      </w:pPr>
      <w:r>
        <w:rPr/>
        <w:t>Исходя из диапазона возможных входных значений, определяем ответвление в -40 дБ</w:t>
      </w:r>
    </w:p>
    <w:p>
      <w:pPr>
        <w:pStyle w:val="Normal"/>
        <w:jc w:val="center"/>
        <w:rPr/>
      </w:pPr>
      <w:r>
        <w:rPr/>
        <w:drawing>
          <wp:inline distT="0" distB="3175" distL="0" distR="0">
            <wp:extent cx="1628775" cy="1845310"/>
            <wp:effectExtent l="0" t="0" r="0" b="0"/>
            <wp:docPr id="9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Style w:val="Bold"/>
        </w:rPr>
        <w:t xml:space="preserve">Рис </w:t>
      </w:r>
      <w:r>
        <w:rPr>
          <w:rStyle w:val="Bold"/>
          <w:lang w:val="en-US"/>
        </w:rPr>
        <w:t>2</w:t>
      </w:r>
      <w:r>
        <w:rPr>
          <w:rStyle w:val="Bold"/>
        </w:rPr>
        <w:t>.2.1</w:t>
      </w:r>
      <w:r>
        <w:rPr/>
        <w:t xml:space="preserve"> Ответвитель на связных линиях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2540">
            <wp:extent cx="6645910" cy="4096385"/>
            <wp:effectExtent l="0" t="0" r="0" b="0"/>
            <wp:docPr id="10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Style w:val="Bold"/>
        </w:rPr>
        <w:t>Рис 2.2.1</w:t>
      </w:r>
      <w:r>
        <w:rPr/>
        <w:t xml:space="preserve"> Характеристика ответвителя</w:t>
      </w:r>
      <w:r>
        <w:br w:type="page"/>
      </w:r>
    </w:p>
    <w:p>
      <w:pPr>
        <w:pStyle w:val="2"/>
        <w:rPr/>
      </w:pPr>
      <w:bookmarkStart w:id="6" w:name="_Toc72588881"/>
      <w:r>
        <w:rPr/>
        <w:t xml:space="preserve">2.3 МШУ 1 — </w:t>
      </w:r>
      <w:r>
        <w:rPr>
          <w:lang w:val="en-US"/>
        </w:rPr>
        <w:t>PMA</w:t>
      </w:r>
      <w:r>
        <w:rPr/>
        <w:t>-183</w:t>
      </w:r>
      <w:r>
        <w:rPr>
          <w:lang w:val="en-US"/>
        </w:rPr>
        <w:t>PLN</w:t>
      </w:r>
      <w:r>
        <w:rPr/>
        <w:t>+</w:t>
      </w:r>
      <w:bookmarkEnd w:id="6"/>
    </w:p>
    <w:p>
      <w:pPr>
        <w:pStyle w:val="Normal"/>
        <w:jc w:val="center"/>
        <w:rPr/>
      </w:pPr>
      <w:r>
        <w:rPr/>
        <w:drawing>
          <wp:inline distT="0" distB="0" distL="0" distR="0">
            <wp:extent cx="2135505" cy="1470025"/>
            <wp:effectExtent l="0" t="0" r="0" b="0"/>
            <wp:docPr id="1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6672" r="0" b="9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Style w:val="Bold"/>
        </w:rPr>
        <w:t xml:space="preserve">Рис. </w:t>
      </w:r>
      <w:r>
        <w:rPr>
          <w:rStyle w:val="Bold"/>
          <w:lang w:val="en-US"/>
        </w:rPr>
        <w:t>2</w:t>
      </w:r>
      <w:r>
        <w:rPr>
          <w:rStyle w:val="Bold"/>
        </w:rPr>
        <w:t>.3.1</w:t>
      </w:r>
      <w:r>
        <w:rPr/>
        <w:t xml:space="preserve"> Размеры элемента</w:t>
      </w:r>
    </w:p>
    <w:p>
      <w:pPr>
        <w:pStyle w:val="Normal"/>
        <w:jc w:val="center"/>
        <w:rPr/>
      </w:pPr>
      <w:r>
        <w:rPr>
          <w:lang w:val="en-US"/>
        </w:rPr>
        <w:t>P</w:t>
      </w:r>
      <w:r>
        <w:rPr/>
        <w:t xml:space="preserve"> = 0.25 </w:t>
      </w:r>
      <w:r>
        <w:rPr>
          <w:lang w:val="en-US"/>
        </w:rPr>
        <w:t>mm</w:t>
      </w:r>
      <w:r>
        <w:rPr/>
        <w:t xml:space="preserve"> </w:t>
      </w:r>
      <w:r>
        <w:rPr>
          <w:lang w:val="en-US"/>
        </w:rPr>
        <w:t>K</w:t>
      </w:r>
      <w:r>
        <w:rPr/>
        <w:t xml:space="preserve"> = 0.51 </w:t>
      </w:r>
      <w:r>
        <w:rPr>
          <w:lang w:val="en-US"/>
        </w:rPr>
        <w:t>mm</w:t>
      </w:r>
      <w:r>
        <w:rPr/>
        <w:drawing>
          <wp:inline distT="0" distB="0" distL="0" distR="2540">
            <wp:extent cx="6645910" cy="2686050"/>
            <wp:effectExtent l="0" t="0" r="0" b="0"/>
            <wp:docPr id="1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Style w:val="Bold"/>
        </w:rPr>
        <w:t xml:space="preserve">Рис </w:t>
      </w:r>
      <w:r>
        <w:rPr>
          <w:rStyle w:val="Bold"/>
          <w:lang w:val="en-US"/>
        </w:rPr>
        <w:t>2</w:t>
      </w:r>
      <w:r>
        <w:rPr>
          <w:rStyle w:val="Bold"/>
        </w:rPr>
        <w:t>.3.2</w:t>
      </w:r>
      <w:r>
        <w:rPr/>
        <w:t xml:space="preserve"> Схема согласования</w:t>
      </w:r>
    </w:p>
    <w:p>
      <w:pPr>
        <w:pStyle w:val="Normal"/>
        <w:jc w:val="right"/>
        <w:rPr/>
      </w:pPr>
      <w:r>
        <w:rPr>
          <w:rStyle w:val="Bold"/>
        </w:rPr>
        <w:t xml:space="preserve">Таблица </w:t>
      </w:r>
      <w:r>
        <w:rPr>
          <w:rStyle w:val="Bold"/>
          <w:lang w:val="en-US"/>
        </w:rPr>
        <w:t>2</w:t>
      </w:r>
      <w:r>
        <w:rPr>
          <w:rStyle w:val="Bold"/>
        </w:rPr>
        <w:t>.</w:t>
      </w:r>
      <w:r>
        <w:rPr>
          <w:rStyle w:val="Bold"/>
          <w:lang w:val="en-US"/>
        </w:rPr>
        <w:t>3</w:t>
      </w:r>
      <w:r>
        <w:rPr>
          <w:rStyle w:val="Bold"/>
        </w:rPr>
        <w:t>.1</w:t>
      </w:r>
      <w:r>
        <w:rPr/>
        <w:t xml:space="preserve"> Размеры элементов</w:t>
      </w:r>
    </w:p>
    <w:tbl>
      <w:tblPr>
        <w:tblW w:w="10455" w:type="dxa"/>
        <w:jc w:val="center"/>
        <w:tblInd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CellMar>
          <w:top w:w="100" w:type="dxa"/>
          <w:left w:w="7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29"/>
        <w:gridCol w:w="4051"/>
        <w:gridCol w:w="3975"/>
      </w:tblGrid>
      <w:tr>
        <w:trPr>
          <w:trHeight w:val="544" w:hRule="atLeast"/>
        </w:trPr>
        <w:tc>
          <w:tcPr>
            <w:tcW w:w="242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Параметр</w:t>
            </w:r>
          </w:p>
        </w:tc>
        <w:tc>
          <w:tcPr>
            <w:tcW w:w="405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Вход</w:t>
            </w:r>
          </w:p>
        </w:tc>
        <w:tc>
          <w:tcPr>
            <w:tcW w:w="397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Выход</w:t>
            </w:r>
          </w:p>
        </w:tc>
      </w:tr>
      <w:tr>
        <w:trPr>
          <w:trHeight w:val="286" w:hRule="atLeast"/>
        </w:trPr>
        <w:tc>
          <w:tcPr>
            <w:tcW w:w="2429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  <w:insideH w:val="single" w:sz="8" w:space="0" w:color="000000"/>
              <w:insideV w:val="single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Подводная линия</w:t>
            </w:r>
          </w:p>
        </w:tc>
        <w:tc>
          <w:tcPr>
            <w:tcW w:w="4051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  <w:insideH w:val="single" w:sz="8" w:space="0" w:color="000000"/>
              <w:insideV w:val="single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Д=0.2 мм Ш=0.3 мм</w:t>
            </w:r>
          </w:p>
        </w:tc>
        <w:tc>
          <w:tcPr>
            <w:tcW w:w="3975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  <w:insideH w:val="single" w:sz="8" w:space="0" w:color="000000"/>
              <w:insideV w:val="single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Д=0.2 мм Ш=0.3 мм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  <w:insideH w:val="single" w:sz="8" w:space="0" w:color="000000"/>
              <w:insideV w:val="single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Переходная линия</w:t>
            </w:r>
          </w:p>
        </w:tc>
        <w:tc>
          <w:tcPr>
            <w:tcW w:w="4051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  <w:insideH w:val="single" w:sz="8" w:space="0" w:color="000000"/>
              <w:insideV w:val="single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Д=0.6 мм Ш=0.7 мм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  <w:insideH w:val="single" w:sz="8" w:space="0" w:color="000000"/>
              <w:insideV w:val="single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Д=1.1 мм Ш=0.8 мм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  <w:insideH w:val="single" w:sz="8" w:space="0" w:color="000000"/>
              <w:insideV w:val="single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Трансформаторная линия</w:t>
            </w:r>
          </w:p>
        </w:tc>
        <w:tc>
          <w:tcPr>
            <w:tcW w:w="4051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  <w:insideH w:val="single" w:sz="8" w:space="0" w:color="000000"/>
              <w:insideV w:val="single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Д=0.2 мм Ш=0.3 мм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  <w:insideH w:val="single" w:sz="8" w:space="0" w:color="000000"/>
              <w:insideV w:val="single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  <w:insideH w:val="single" w:sz="8" w:space="0" w:color="000000"/>
              <w:insideV w:val="single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Шлейф</w:t>
            </w:r>
          </w:p>
        </w:tc>
        <w:tc>
          <w:tcPr>
            <w:tcW w:w="4051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  <w:insideH w:val="single" w:sz="8" w:space="0" w:color="000000"/>
              <w:insideV w:val="single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Д=1.1 мм Ш=1.1 мм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  <w:insideH w:val="single" w:sz="8" w:space="0" w:color="000000"/>
              <w:insideV w:val="single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Д=1.5 мм Ш=1.1 мм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Наружная выводная линия</w:t>
            </w:r>
          </w:p>
        </w:tc>
        <w:tc>
          <w:tcPr>
            <w:tcW w:w="4051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Д=1.3 мм Ш=1.1 мм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/>
              <w:t>Д=0.5 мм Ш=1.1 мм</w:t>
            </w:r>
          </w:p>
        </w:tc>
      </w:tr>
    </w:tbl>
    <w:p>
      <w:pPr>
        <w:pStyle w:val="Normal"/>
        <w:jc w:val="center"/>
        <w:rPr>
          <w:sz w:val="24"/>
          <w:szCs w:val="20"/>
        </w:rPr>
      </w:pPr>
      <w:r>
        <w:rPr/>
        <w:drawing>
          <wp:inline distT="0" distB="1905" distL="0" distR="2540">
            <wp:extent cx="6645910" cy="3922395"/>
            <wp:effectExtent l="0" t="0" r="0" b="0"/>
            <wp:docPr id="13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0"/>
        </w:rPr>
      </w:pPr>
      <w:r>
        <w:rPr>
          <w:rStyle w:val="Bold"/>
        </w:rPr>
        <w:t xml:space="preserve">Рис </w:t>
      </w:r>
      <w:r>
        <w:rPr>
          <w:rStyle w:val="Bold"/>
          <w:lang w:val="en-US"/>
        </w:rPr>
        <w:t>2</w:t>
      </w:r>
      <w:r>
        <w:rPr>
          <w:rStyle w:val="Bold"/>
        </w:rPr>
        <w:t>.3.3</w:t>
      </w:r>
      <w:r>
        <w:rPr>
          <w:sz w:val="24"/>
          <w:szCs w:val="20"/>
        </w:rPr>
        <w:t xml:space="preserve"> Результаты согласования</w:t>
      </w:r>
      <w:r>
        <w:br w:type="page"/>
      </w:r>
    </w:p>
    <w:p>
      <w:pPr>
        <w:pStyle w:val="1"/>
        <w:rPr/>
      </w:pPr>
      <w:bookmarkStart w:id="7" w:name="_Toc72588882"/>
      <w:r>
        <w:rPr/>
        <w:t>Часть 3. Общее моделирование.</w:t>
      </w:r>
      <w:bookmarkEnd w:id="7"/>
    </w:p>
    <w:p>
      <w:pPr>
        <w:pStyle w:val="Normal"/>
        <w:jc w:val="center"/>
        <w:rPr/>
      </w:pPr>
      <w:bookmarkStart w:id="8" w:name="_GoBack"/>
      <w:bookmarkEnd w:id="8"/>
      <w:r>
        <w:rPr/>
        <w:drawing>
          <wp:inline distT="0" distB="0" distL="0" distR="0">
            <wp:extent cx="5978525" cy="1705610"/>
            <wp:effectExtent l="0" t="0" r="0" b="0"/>
            <wp:docPr id="14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jc w:val="center"/>
        <w:rPr/>
      </w:pPr>
      <w:r>
        <w:rPr>
          <w:b/>
          <w:bCs/>
        </w:rPr>
        <w:t>Рис 3.1</w:t>
      </w:r>
      <w:r>
        <w:rPr/>
        <w:t xml:space="preserve"> Итоговая схема</w:t>
      </w:r>
    </w:p>
    <w:p>
      <w:pPr>
        <w:pStyle w:val="Normal"/>
        <w:jc w:val="center"/>
        <w:rPr/>
      </w:pPr>
      <w:r>
        <w:rPr/>
        <w:drawing>
          <wp:inline distT="0" distB="0" distL="0" distR="2540">
            <wp:extent cx="6645910" cy="3928745"/>
            <wp:effectExtent l="0" t="0" r="0" b="0"/>
            <wp:docPr id="15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  <w:bCs/>
        </w:rPr>
        <w:t>Рис 3.2</w:t>
      </w:r>
      <w:r>
        <w:rPr/>
        <w:t xml:space="preserve"> Результаты моделирования</w:t>
      </w:r>
    </w:p>
    <w:p>
      <w:pPr>
        <w:pStyle w:val="Normal"/>
        <w:rPr/>
      </w:pPr>
      <w:r>
        <w:rPr/>
        <w:t xml:space="preserve">Максимальный </w:t>
      </w:r>
      <w:r>
        <w:rPr>
          <w:lang w:val="en-US"/>
        </w:rPr>
        <w:t xml:space="preserve">NF </w:t>
      </w:r>
      <w:r>
        <w:rPr>
          <w:lang w:val="ru-RU"/>
        </w:rPr>
        <w:t xml:space="preserve">для МШУ из таблицы производителя равен 1.2. С помощью модели </w:t>
      </w:r>
      <w:r>
        <w:rPr>
          <w:lang w:val="en-US"/>
        </w:rPr>
        <w:t xml:space="preserve">Noisy2Port  </w:t>
      </w:r>
      <w:r>
        <w:rPr>
          <w:lang w:val="ru-RU"/>
        </w:rPr>
        <w:t>установим шум в 1.2 дБ и проведём анализ.</w:t>
      </w:r>
    </w:p>
    <w:p>
      <w:pPr>
        <w:pStyle w:val="Normal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7391400"/>
            <wp:effectExtent l="0" t="0" r="0" b="0"/>
            <wp:wrapSquare wrapText="bothSides"/>
            <wp:docPr id="1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bidi w:val="0"/>
        <w:spacing w:lineRule="auto" w:line="276" w:before="0" w:after="200"/>
        <w:jc w:val="left"/>
        <w:rPr/>
      </w:pPr>
      <w:r>
        <w:rPr/>
        <w:t>Данная модель соответствует выданному ТЗ и может быть отправлена на следующий этап проектирования.</w:t>
      </w:r>
    </w:p>
    <w:sectPr>
      <w:headerReference w:type="default" r:id="rId20"/>
      <w:footerReference w:type="default" r:id="rId21"/>
      <w:type w:val="nextPage"/>
      <w:pgSz w:w="11906" w:h="16838"/>
      <w:pgMar w:left="720" w:right="720" w:header="0" w:top="720" w:footer="0" w:bottom="720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ambria Math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19043779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false"/>
      <w:bidi w:val="0"/>
      <w:spacing w:lineRule="auto" w:line="276" w:before="0" w:after="200"/>
      <w:jc w:val="left"/>
      <w:rPr>
        <w:sz w:val="24"/>
      </w:rPr>
    </w:pPr>
    <w:r>
      <w:rPr>
        <w:sz w:val="24"/>
      </w:rPr>
      <w:t>Лазба Филипп</w:t>
      <w:tab/>
      <w:tab/>
      <w:tab/>
      <w:tab/>
      <w:tab/>
      <w:tab/>
      <w:tab/>
      <w:tab/>
      <w:tab/>
      <w:tab/>
      <w:tab/>
      <w:t xml:space="preserve">      РТ-33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5503c0"/>
    <w:pPr>
      <w:widowControl/>
      <w:suppressAutoHyphens w:val="false"/>
      <w:bidi w:val="0"/>
      <w:spacing w:lineRule="auto" w:line="276" w:before="0" w:after="20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774cbf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000000" w:themeColor="text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774cbf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000000" w:themeColor="text1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74cbf"/>
    <w:rPr>
      <w:rFonts w:ascii="Arial" w:hAnsi="Arial" w:eastAsia="" w:cs="" w:asciiTheme="majorHAnsi" w:cstheme="majorBidi" w:eastAsiaTheme="majorEastAsia" w:hAnsiTheme="majorHAnsi"/>
      <w:b/>
      <w:bCs/>
      <w:color w:val="000000" w:themeColor="text1"/>
      <w:sz w:val="36"/>
      <w:szCs w:val="28"/>
    </w:rPr>
  </w:style>
  <w:style w:type="character" w:styleId="Style12" w:customStyle="1">
    <w:name w:val="Верхний колонтитул Знак"/>
    <w:basedOn w:val="DefaultParagraphFont"/>
    <w:link w:val="a3"/>
    <w:uiPriority w:val="99"/>
    <w:qFormat/>
    <w:rsid w:val="00d458f1"/>
    <w:rPr/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d458f1"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774cbf"/>
    <w:rPr>
      <w:rFonts w:ascii="Arial" w:hAnsi="Arial" w:eastAsia="" w:cs="" w:asciiTheme="majorHAnsi" w:cstheme="majorBidi" w:eastAsiaTheme="majorEastAsia" w:hAnsiTheme="majorHAnsi"/>
      <w:b/>
      <w:bCs/>
      <w:color w:val="000000" w:themeColor="text1"/>
      <w:sz w:val="28"/>
      <w:szCs w:val="26"/>
    </w:rPr>
  </w:style>
  <w:style w:type="character" w:styleId="Style14" w:customStyle="1">
    <w:name w:val="Текст выноски Знак"/>
    <w:basedOn w:val="DefaultParagraphFont"/>
    <w:link w:val="a7"/>
    <w:uiPriority w:val="99"/>
    <w:semiHidden/>
    <w:qFormat/>
    <w:rsid w:val="00774cbf"/>
    <w:rPr>
      <w:rFonts w:ascii="Tahoma" w:hAnsi="Tahoma" w:cs="Tahoma"/>
      <w:sz w:val="16"/>
      <w:szCs w:val="16"/>
    </w:rPr>
  </w:style>
  <w:style w:type="character" w:styleId="Bold" w:customStyle="1">
    <w:name w:val="Bold Знак"/>
    <w:basedOn w:val="DefaultParagraphFont"/>
    <w:link w:val="Bold"/>
    <w:qFormat/>
    <w:rsid w:val="00774cbf"/>
    <w:rPr>
      <w:b/>
      <w:sz w:val="28"/>
    </w:rPr>
  </w:style>
  <w:style w:type="character" w:styleId="Fontstyle01" w:customStyle="1">
    <w:name w:val="fontstyle01"/>
    <w:basedOn w:val="DefaultParagraphFont"/>
    <w:qFormat/>
    <w:rsid w:val="004d0dd3"/>
    <w:rPr>
      <w:rFonts w:ascii="Times New Roman" w:hAnsi="Times New Roman" w:cs="Times New Roman"/>
      <w:b w:val="false"/>
      <w:bCs w:val="false"/>
      <w:i/>
      <w:iCs/>
      <w:color w:val="000000"/>
      <w:sz w:val="24"/>
      <w:szCs w:val="24"/>
    </w:rPr>
  </w:style>
  <w:style w:type="character" w:styleId="Fontstyle11" w:customStyle="1">
    <w:name w:val="fontstyle11"/>
    <w:basedOn w:val="DefaultParagraphFont"/>
    <w:qFormat/>
    <w:rsid w:val="004d0dd3"/>
    <w:rPr>
      <w:rFonts w:ascii="Times New Roman" w:hAnsi="Times New Roman" w:cs="Times New Roman"/>
      <w:b w:val="false"/>
      <w:bCs w:val="false"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2c7534"/>
    <w:rPr>
      <w:rFonts w:ascii="Times New Roman" w:hAnsi="Times New Roman" w:cs="Times New Roman"/>
      <w:b w:val="false"/>
      <w:bCs w:val="false"/>
      <w:i w:val="false"/>
      <w:iCs w:val="false"/>
      <w:color w:val="000000"/>
      <w:sz w:val="26"/>
      <w:szCs w:val="26"/>
    </w:rPr>
  </w:style>
  <w:style w:type="character" w:styleId="Fontstyle31" w:customStyle="1">
    <w:name w:val="fontstyle31"/>
    <w:basedOn w:val="DefaultParagraphFont"/>
    <w:qFormat/>
    <w:rsid w:val="002c7534"/>
    <w:rPr>
      <w:rFonts w:ascii="Cambria Math" w:hAnsi="Cambria Math"/>
      <w:b w:val="false"/>
      <w:bCs w:val="false"/>
      <w:i w:val="false"/>
      <w:iCs w:val="false"/>
      <w:color w:val="000000"/>
      <w:sz w:val="26"/>
      <w:szCs w:val="26"/>
    </w:rPr>
  </w:style>
  <w:style w:type="character" w:styleId="Style15">
    <w:name w:val="Интернет-ссылка"/>
    <w:basedOn w:val="DefaultParagraphFont"/>
    <w:uiPriority w:val="99"/>
    <w:unhideWhenUsed/>
    <w:rsid w:val="002c75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fc2c0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01327"/>
    <w:rPr>
      <w:color w:val="800080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00b8b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f0"/>
    <w:uiPriority w:val="99"/>
    <w:semiHidden/>
    <w:qFormat/>
    <w:rsid w:val="00000b8b"/>
    <w:rPr>
      <w:sz w:val="20"/>
      <w:szCs w:val="20"/>
    </w:rPr>
  </w:style>
  <w:style w:type="character" w:styleId="Style17" w:customStyle="1">
    <w:name w:val="Тема примечания Знак"/>
    <w:basedOn w:val="Style16"/>
    <w:link w:val="af2"/>
    <w:uiPriority w:val="99"/>
    <w:semiHidden/>
    <w:qFormat/>
    <w:rsid w:val="00000b8b"/>
    <w:rPr>
      <w:b/>
      <w:bCs/>
      <w:sz w:val="20"/>
      <w:szCs w:val="20"/>
    </w:rPr>
  </w:style>
  <w:style w:type="character" w:styleId="ListLabel1">
    <w:name w:val="ListLabel 1"/>
    <w:qFormat/>
    <w:rPr/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Mangal"/>
    </w:rPr>
  </w:style>
  <w:style w:type="paragraph" w:styleId="Style24">
    <w:name w:val="Header"/>
    <w:basedOn w:val="Normal"/>
    <w:link w:val="a4"/>
    <w:uiPriority w:val="99"/>
    <w:unhideWhenUsed/>
    <w:rsid w:val="00d458f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6"/>
    <w:uiPriority w:val="99"/>
    <w:unhideWhenUsed/>
    <w:rsid w:val="00d458f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774cb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ld1" w:customStyle="1">
    <w:name w:val="Bold"/>
    <w:basedOn w:val="Normal"/>
    <w:link w:val="Bold0"/>
    <w:qFormat/>
    <w:rsid w:val="00774cbf"/>
    <w:pPr>
      <w:jc w:val="center"/>
    </w:pPr>
    <w:rPr>
      <w:b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2c7534"/>
    <w:pPr/>
    <w:rPr>
      <w:color w:val="365F91" w:themeColor="accent1" w:themeShade="bf"/>
      <w:sz w:val="28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2c7534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2c7534"/>
    <w:pPr>
      <w:spacing w:before="0" w:after="100"/>
      <w:ind w:left="280" w:hanging="0"/>
    </w:pPr>
    <w:rPr/>
  </w:style>
  <w:style w:type="paragraph" w:styleId="ListParagraph">
    <w:name w:val="List Paragraph"/>
    <w:basedOn w:val="Normal"/>
    <w:uiPriority w:val="34"/>
    <w:qFormat/>
    <w:rsid w:val="001b41ef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af1"/>
    <w:uiPriority w:val="99"/>
    <w:semiHidden/>
    <w:unhideWhenUsed/>
    <w:qFormat/>
    <w:rsid w:val="00000b8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3"/>
    <w:uiPriority w:val="99"/>
    <w:semiHidden/>
    <w:unhideWhenUsed/>
    <w:qFormat/>
    <w:rsid w:val="00000b8b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4d0d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minicircuits.com/WebStore/dashboard.html?model=PMA-183PLN%2B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www.analog.com/en/products/ltc5597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wmf"/><Relationship Id="rId11" Type="http://schemas.openxmlformats.org/officeDocument/2006/relationships/image" Target="media/image8.png"/><Relationship Id="rId12" Type="http://schemas.openxmlformats.org/officeDocument/2006/relationships/image" Target="media/image9.wmf"/><Relationship Id="rId13" Type="http://schemas.openxmlformats.org/officeDocument/2006/relationships/image" Target="media/image10.wmf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wmf"/><Relationship Id="rId17" Type="http://schemas.openxmlformats.org/officeDocument/2006/relationships/image" Target="media/image14.png"/><Relationship Id="rId18" Type="http://schemas.openxmlformats.org/officeDocument/2006/relationships/image" Target="media/image15.wmf"/><Relationship Id="rId19" Type="http://schemas.openxmlformats.org/officeDocument/2006/relationships/image" Target="media/image16.emf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E1D91-CDD5-45DE-AD34-50028447F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3462</TotalTime>
  <Application>LibreOffice/6.1.0.3$Windows_X86_64 LibreOffice_project/efb621ed25068d70781dc026f7e9c5187a4decd1</Application>
  <Pages>11</Pages>
  <Words>575</Words>
  <Characters>3276</Characters>
  <CharactersWithSpaces>3782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2021-03-05T09:04:00Z</dcterms:created>
  <dc:creator>user</dc:creator>
  <dc:description/>
  <dc:language>ru-RU</dc:language>
  <cp:lastModifiedBy/>
  <cp:lastPrinted>2021-05-22T12:17:00Z</cp:lastPrinted>
  <dcterms:modified xsi:type="dcterms:W3CDTF">2021-05-28T13:43:45Z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