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0686" w14:textId="77777777" w:rsidR="00D87CA9" w:rsidRDefault="00D87CA9" w:rsidP="00D87CA9">
      <w:pPr>
        <w:rPr>
          <w:rFonts w:ascii="Cambria" w:hAnsi="Cambria"/>
          <w:b/>
          <w:bCs/>
        </w:rPr>
      </w:pPr>
    </w:p>
    <w:p w14:paraId="47217BD1" w14:textId="6D89E957" w:rsidR="004530D2" w:rsidRDefault="004530D2" w:rsidP="004530D2">
      <w:pPr>
        <w:keepNext/>
        <w:rPr>
          <w:rFonts w:ascii="Cambria" w:hAnsi="Cambria"/>
        </w:rPr>
      </w:pPr>
      <w:r w:rsidRPr="004530D2">
        <w:rPr>
          <w:rFonts w:ascii="Cambria" w:hAnsi="Cambria"/>
          <w:b/>
          <w:bCs/>
        </w:rPr>
        <w:t>1. Project Title</w:t>
      </w:r>
      <w:r>
        <w:rPr>
          <w:rFonts w:ascii="Cambria" w:hAnsi="Cambria"/>
          <w:b/>
          <w:bCs/>
        </w:rPr>
        <w:t xml:space="preserve">: </w:t>
      </w:r>
      <w:r w:rsidRPr="004530D2">
        <w:rPr>
          <w:rFonts w:ascii="Cambria" w:hAnsi="Cambria"/>
        </w:rPr>
        <w:t>Cloud Native SRE Incident Triage and Outage Diagnosis Agent</w:t>
      </w:r>
    </w:p>
    <w:p w14:paraId="7A2EC2D0" w14:textId="3E053508" w:rsidR="00E00BBB" w:rsidRPr="004530D2" w:rsidRDefault="00E00BBB" w:rsidP="004530D2">
      <w:pPr>
        <w:keepNext/>
        <w:rPr>
          <w:rFonts w:ascii="Cambria" w:hAnsi="Cambria"/>
        </w:rPr>
      </w:pPr>
      <w:r w:rsidRPr="00E00BBB">
        <w:rPr>
          <w:rFonts w:ascii="Cambria" w:hAnsi="Cambria"/>
          <w:b/>
          <w:bCs/>
        </w:rPr>
        <w:t xml:space="preserve">2. Team </w:t>
      </w:r>
      <w:r>
        <w:rPr>
          <w:rFonts w:ascii="Cambria" w:hAnsi="Cambria"/>
          <w:b/>
          <w:bCs/>
        </w:rPr>
        <w:t>M</w:t>
      </w:r>
      <w:r w:rsidRPr="00E00BBB">
        <w:rPr>
          <w:rFonts w:ascii="Cambria" w:hAnsi="Cambria"/>
          <w:b/>
          <w:bCs/>
        </w:rPr>
        <w:t xml:space="preserve">embers: </w:t>
      </w:r>
      <w:r>
        <w:rPr>
          <w:rFonts w:ascii="Cambria" w:hAnsi="Cambria"/>
        </w:rPr>
        <w:t>Nishchay Vashishtha (230737), Dividh Vijay (230730), Daksh Nehra (230723)</w:t>
      </w:r>
    </w:p>
    <w:p w14:paraId="6A97D5F8" w14:textId="1AFB61C9" w:rsidR="004530D2" w:rsidRPr="004530D2" w:rsidRDefault="00E00BBB" w:rsidP="004530D2">
      <w:pPr>
        <w:keepNext/>
        <w:rPr>
          <w:rFonts w:ascii="Cambria" w:hAnsi="Cambria"/>
        </w:rPr>
      </w:pPr>
      <w:r>
        <w:rPr>
          <w:rFonts w:ascii="Cambria" w:hAnsi="Cambria"/>
          <w:b/>
          <w:bCs/>
        </w:rPr>
        <w:t>3</w:t>
      </w:r>
      <w:r w:rsidR="004530D2" w:rsidRPr="004530D2">
        <w:rPr>
          <w:rFonts w:ascii="Cambria" w:hAnsi="Cambria"/>
          <w:b/>
          <w:bCs/>
        </w:rPr>
        <w:t>. Problem Definition</w:t>
      </w:r>
    </w:p>
    <w:p w14:paraId="5DF86B26" w14:textId="77777777" w:rsidR="004530D2" w:rsidRPr="004530D2" w:rsidRDefault="004530D2" w:rsidP="004530D2">
      <w:pPr>
        <w:numPr>
          <w:ilvl w:val="0"/>
          <w:numId w:val="3"/>
        </w:numPr>
        <w:spacing w:after="60" w:line="240" w:lineRule="auto"/>
        <w:ind w:left="714" w:hanging="357"/>
        <w:rPr>
          <w:rFonts w:ascii="Cambria" w:hAnsi="Cambria"/>
        </w:rPr>
      </w:pPr>
      <w:r>
        <w:rPr>
          <w:rFonts w:ascii="Cambria" w:hAnsi="Cambria"/>
        </w:rPr>
        <w:t>On-call teams must correlate metrics, traces, logs, and recent changes under time pressure. Isolated dashboards and premature root-cause guesses can delay recovery or suggest the wrong fix. This prototype will investigate controlled outages and retain the evidence behind each conclusion.</w:t>
      </w:r>
    </w:p>
    <w:p w14:paraId="11086FB1" w14:textId="7037D89A" w:rsidR="004530D2" w:rsidRDefault="004530D2" w:rsidP="004530D2">
      <w:pPr>
        <w:numPr>
          <w:ilvl w:val="0"/>
          <w:numId w:val="3"/>
        </w:numPr>
        <w:spacing w:after="60" w:line="240" w:lineRule="auto"/>
        <w:ind w:left="714" w:hanging="357"/>
        <w:rPr>
          <w:rFonts w:ascii="Cambria" w:hAnsi="Cambria"/>
        </w:rPr>
      </w:pPr>
      <w:r>
        <w:rPr>
          <w:rFonts w:ascii="Cambria" w:hAnsi="Cambria"/>
        </w:rPr>
        <w:t>On-call SREs, DevOps engineers, and incident commanders responsible for instrumented cloud services. The initial scope is a Docker-based test environment; production changes remain subject to operator review.</w:t>
      </w:r>
    </w:p>
    <w:p w14:paraId="50B59CB5" w14:textId="77777777" w:rsidR="004530D2" w:rsidRPr="004530D2" w:rsidRDefault="004530D2" w:rsidP="004530D2">
      <w:pPr>
        <w:spacing w:after="60" w:line="240" w:lineRule="auto"/>
        <w:ind w:left="714"/>
        <w:rPr>
          <w:rFonts w:ascii="Cambria" w:hAnsi="Cambria"/>
          <w:sz w:val="8"/>
          <w:szCs w:val="8"/>
        </w:rPr>
      </w:pPr>
    </w:p>
    <w:p w14:paraId="3A859474" w14:textId="7A7D054E" w:rsidR="004530D2" w:rsidRPr="004530D2" w:rsidRDefault="00E00BBB" w:rsidP="004530D2">
      <w:pPr>
        <w:keepNext/>
        <w:rPr>
          <w:rFonts w:ascii="Cambria" w:hAnsi="Cambria"/>
        </w:rPr>
      </w:pPr>
      <w:r>
        <w:rPr>
          <w:rFonts w:ascii="Cambria" w:hAnsi="Cambria"/>
          <w:b/>
          <w:bCs/>
        </w:rPr>
        <w:t>4</w:t>
      </w:r>
      <w:r w:rsidR="004530D2" w:rsidRPr="004530D2">
        <w:rPr>
          <w:rFonts w:ascii="Cambria" w:hAnsi="Cambria"/>
          <w:b/>
          <w:bCs/>
        </w:rPr>
        <w:t>. Objectives &amp; Expected Outcomes</w:t>
      </w:r>
    </w:p>
    <w:p w14:paraId="319CED19" w14:textId="77777777" w:rsidR="004530D2" w:rsidRPr="004530D2" w:rsidRDefault="004530D2" w:rsidP="004530D2">
      <w:pPr>
        <w:numPr>
          <w:ilvl w:val="0"/>
          <w:numId w:val="4"/>
        </w:numPr>
        <w:spacing w:after="60" w:line="240" w:lineRule="auto"/>
        <w:ind w:left="714" w:hanging="357"/>
        <w:rPr>
          <w:rFonts w:ascii="Cambria" w:hAnsi="Cambria"/>
        </w:rPr>
      </w:pPr>
      <w:r>
        <w:rPr>
          <w:rFonts w:ascii="Cambria" w:hAnsi="Cambria"/>
        </w:rPr>
        <w:t>Coordinate parallel telemetry investigations and maintain a case ledger of candidate causes, supporting evidence, contradictions, and follow-up checks.</w:t>
      </w:r>
    </w:p>
    <w:p w14:paraId="319CED19" w14:textId="77777777" w:rsidR="004530D2" w:rsidRPr="004530D2" w:rsidRDefault="004530D2" w:rsidP="004530D2">
      <w:pPr>
        <w:numPr>
          <w:ilvl w:val="0"/>
          <w:numId w:val="4"/>
        </w:numPr>
        <w:spacing w:after="60" w:line="240" w:lineRule="auto"/>
        <w:ind w:left="714" w:hanging="357"/>
        <w:rPr>
          <w:rFonts w:ascii="Cambria" w:hAnsi="Cambria"/>
        </w:rPr>
      </w:pPr>
      <w:r>
        <w:rPr>
          <w:rFonts w:ascii="Cambria" w:hAnsi="Cambria"/>
        </w:rPr>
        <w:t>Produce a bounded diagnosis or an explicit insufficient-evidence result; propose a reversible fix only with operator approval and verify recovery afterward.</w:t>
      </w:r>
    </w:p>
    <w:p w14:paraId="6C40B271" w14:textId="77777777" w:rsidR="004530D2" w:rsidRDefault="004530D2" w:rsidP="004530D2">
      <w:pPr>
        <w:spacing w:after="60" w:line="240" w:lineRule="auto"/>
        <w:ind w:left="360"/>
        <w:rPr>
          <w:rFonts w:ascii="Cambria" w:hAnsi="Cambria"/>
        </w:rPr>
      </w:pPr>
      <w:r>
        <w:rPr>
          <w:rFonts w:ascii="Cambria" w:hAnsi="Cambria"/>
          <w:b/>
        </w:rPr>
        <w:t xml:space="preserve">Expected outcome: </w:t>
      </w:r>
      <w:r>
        <w:rPr>
          <w:rFonts w:ascii="Cambria" w:hAnsi="Cambria"/>
        </w:rPr>
        <w:t>A functional incident-triage dashboard that shows agent investigations, telemetry-linked findings, reviewed remediation, and post-action recovery checks. Evaluation will measure diagnosis accuracy, unsupported conclusions, investigation time, and tool use against a single-agent baseline.</w:t>
      </w:r>
    </w:p>
    <w:p w14:paraId="2A2A6124" w14:textId="77777777" w:rsidR="004530D2" w:rsidRPr="004530D2" w:rsidRDefault="004530D2" w:rsidP="004530D2">
      <w:pPr>
        <w:spacing w:after="60" w:line="240" w:lineRule="auto"/>
        <w:ind w:left="357"/>
        <w:rPr>
          <w:rFonts w:ascii="Cambria" w:hAnsi="Cambria"/>
          <w:sz w:val="8"/>
          <w:szCs w:val="8"/>
        </w:rPr>
      </w:pPr>
    </w:p>
    <w:p w14:paraId="090A9B81" w14:textId="4FAEECEA" w:rsidR="004530D2" w:rsidRPr="004530D2" w:rsidRDefault="00E00BBB" w:rsidP="004530D2">
      <w:pPr>
        <w:keepNext/>
        <w:rPr>
          <w:rFonts w:ascii="Cambria" w:hAnsi="Cambria"/>
        </w:rPr>
      </w:pPr>
      <w:r>
        <w:rPr>
          <w:rFonts w:ascii="Cambria" w:hAnsi="Cambria"/>
          <w:b/>
          <w:bCs/>
        </w:rPr>
        <w:t>5</w:t>
      </w:r>
      <w:r w:rsidR="004530D2" w:rsidRPr="004530D2">
        <w:rPr>
          <w:rFonts w:ascii="Cambria" w:hAnsi="Cambria"/>
          <w:b/>
          <w:bCs/>
        </w:rPr>
        <w:t>. Proposed Methodology</w:t>
      </w:r>
    </w:p>
    <w:p w14:paraId="76FC607A" w14:textId="77777777" w:rsidR="004530D2" w:rsidRPr="004530D2" w:rsidRDefault="004530D2" w:rsidP="004530D2">
      <w:pPr>
        <w:spacing w:after="60" w:line="240" w:lineRule="auto"/>
        <w:ind w:left="360"/>
        <w:rPr>
          <w:rFonts w:ascii="Cambria" w:hAnsi="Cambria"/>
        </w:rPr>
      </w:pPr>
      <w:r>
        <w:rPr>
          <w:rFonts w:ascii="Cambria" w:hAnsi="Cambria"/>
          <w:b/>
        </w:rPr>
        <w:t xml:space="preserve">Agents and their roles: </w:t>
      </w:r>
      <w:r>
        <w:rPr>
          <w:rFonts w:ascii="Cambria" w:hAnsi="Cambria"/>
        </w:rPr>
      </w:r>
    </w:p>
    <w:p w14:paraId="76FC607A" w14:textId="77777777" w:rsidR="004530D2" w:rsidRPr="004530D2" w:rsidRDefault="004530D2" w:rsidP="004530D2">
      <w:pPr>
        <w:numPr>
          <w:ilvl w:val="0"/>
          <w:numId w:val="5"/>
        </w:numPr>
        <w:spacing w:after="60" w:line="240" w:lineRule="auto"/>
        <w:ind w:left="714" w:hanging="357"/>
        <w:rPr>
          <w:rFonts w:ascii="Cambria" w:hAnsi="Cambria"/>
        </w:rPr>
      </w:pPr>
      <w:r>
        <w:rPr>
          <w:rFonts w:ascii="Cambria" w:hAnsi="Cambria"/>
          <w:b/>
        </w:rPr>
        <w:t xml:space="preserve">Incident Coordinator: </w:t>
      </w:r>
      <w:r>
        <w:rPr>
          <w:rFonts w:ascii="Cambria" w:hAnsi="Cambria"/>
        </w:rPr>
        <w:t>plans the investigation, delegates checks, updates the evidence ledger, and stops when evidence or the investigation budget warrants it.</w:t>
      </w:r>
    </w:p>
    <w:p w14:paraId="76FC607A" w14:textId="77777777" w:rsidR="004530D2" w:rsidRPr="004530D2" w:rsidRDefault="004530D2" w:rsidP="004530D2">
      <w:pPr>
        <w:numPr>
          <w:ilvl w:val="0"/>
          <w:numId w:val="5"/>
        </w:numPr>
        <w:spacing w:after="60" w:line="240" w:lineRule="auto"/>
        <w:ind w:left="714" w:hanging="357"/>
        <w:rPr>
          <w:rFonts w:ascii="Cambria" w:hAnsi="Cambria"/>
        </w:rPr>
      </w:pPr>
      <w:r>
        <w:rPr>
          <w:rFonts w:ascii="Cambria" w:hAnsi="Cambria"/>
          <w:b/>
        </w:rPr>
        <w:t xml:space="preserve">Metrics Diagnostic Agent: </w:t>
      </w:r>
      <w:r>
        <w:rPr>
          <w:rFonts w:ascii="Cambria" w:hAnsi="Cambria"/>
        </w:rPr>
        <w:t>compares error rates, latency, utilization, and saturation with baselines and healthy services.</w:t>
      </w:r>
    </w:p>
    <w:p w14:paraId="76FC607A" w14:textId="77777777" w:rsidR="004530D2" w:rsidRPr="004530D2" w:rsidRDefault="004530D2" w:rsidP="004530D2">
      <w:pPr>
        <w:numPr>
          <w:ilvl w:val="0"/>
          <w:numId w:val="5"/>
        </w:numPr>
        <w:spacing w:after="60" w:line="240" w:lineRule="auto"/>
        <w:ind w:left="714" w:hanging="357"/>
        <w:rPr>
          <w:rFonts w:ascii="Cambria" w:hAnsi="Cambria"/>
        </w:rPr>
      </w:pPr>
      <w:r>
        <w:rPr>
          <w:rFonts w:ascii="Cambria" w:hAnsi="Cambria"/>
          <w:b/>
        </w:rPr>
        <w:t xml:space="preserve">Trace Investigation Agent: </w:t>
      </w:r>
      <w:r>
        <w:rPr>
          <w:rFonts w:ascii="Cambria" w:hAnsi="Cambria"/>
        </w:rPr>
        <w:t>follows slow or failed requests to localize delay and request relevant follow-up telemetry.</w:t>
      </w:r>
    </w:p>
    <w:p w14:paraId="76FC607A" w14:textId="77777777" w:rsidR="004530D2" w:rsidRPr="004530D2" w:rsidRDefault="004530D2" w:rsidP="004530D2">
      <w:pPr>
        <w:numPr>
          <w:ilvl w:val="0"/>
          <w:numId w:val="5"/>
        </w:numPr>
        <w:spacing w:after="60" w:line="240" w:lineRule="auto"/>
        <w:ind w:left="714" w:hanging="357"/>
        <w:rPr>
          <w:rFonts w:ascii="Cambria" w:hAnsi="Cambria"/>
        </w:rPr>
      </w:pPr>
      <w:r>
        <w:rPr>
          <w:rFonts w:ascii="Cambria" w:hAnsi="Cambria"/>
          <w:b/>
        </w:rPr>
        <w:t xml:space="preserve">Logs and Changes Agent: </w:t>
      </w:r>
      <w:r>
        <w:rPr>
          <w:rFonts w:ascii="Cambria" w:hAnsi="Cambria"/>
        </w:rPr>
        <w:t>checks errors, container events, deployments, and configuration changes against the incident timeline.</w:t>
      </w:r>
    </w:p>
    <w:p w14:paraId="4B0E2680" w14:textId="77777777" w:rsidR="004530D2" w:rsidRPr="004530D2" w:rsidRDefault="004530D2" w:rsidP="004530D2">
      <w:pPr>
        <w:spacing w:after="60" w:line="240" w:lineRule="auto"/>
        <w:ind w:left="360"/>
        <w:rPr>
          <w:rFonts w:ascii="Cambria" w:hAnsi="Cambria"/>
        </w:rPr>
      </w:pPr>
      <w:r>
        <w:rPr>
          <w:rFonts w:ascii="Cambria" w:hAnsi="Cambria"/>
          <w:b/>
        </w:rPr>
        <w:t xml:space="preserve">Tools/APIs to be used: </w:t>
      </w:r>
      <w:r>
        <w:rPr>
          <w:rFonts w:ascii="Cambria" w:hAnsi="Cambria"/>
        </w:rPr>
        <w:t>Bounded Prometheus queries, trace retrieval, log search, configuration diff, incident memory lookup, and an allowlisted remediation tool. A shared MCP wrapper is optional.</w:t>
      </w:r>
    </w:p>
    <w:p w14:paraId="78E7D1D7" w14:textId="77777777" w:rsidR="004530D2" w:rsidRPr="004530D2" w:rsidRDefault="004530D2" w:rsidP="004530D2">
      <w:pPr>
        <w:spacing w:after="60" w:line="240" w:lineRule="auto"/>
        <w:ind w:left="360"/>
        <w:rPr>
          <w:rFonts w:ascii="Cambria" w:hAnsi="Cambria"/>
        </w:rPr>
      </w:pPr>
      <w:r>
        <w:rPr>
          <w:rFonts w:ascii="Cambria" w:hAnsi="Cambria"/>
          <w:b/>
        </w:rPr>
        <w:t xml:space="preserve">LLM/model and Agentic AI framework: </w:t>
      </w:r>
      <w:r>
        <w:rPr>
          <w:rFonts w:ascii="Cambria" w:hAnsi="Cambria"/>
        </w:rPr>
        <w:t>Google ADK coordinates tool-using LlmAgents. A configurable tool-capable LLM reasons over telemetry; deterministic code performs comparisons, action validation, and recovery checks.</w:t>
      </w:r>
    </w:p>
    <w:p w14:paraId="706A2109" w14:textId="26B30E10" w:rsidR="004530D2" w:rsidRDefault="004530D2" w:rsidP="004530D2">
      <w:pPr>
        <w:spacing w:after="60" w:line="240" w:lineRule="auto"/>
        <w:ind w:left="360"/>
        <w:rPr>
          <w:rFonts w:ascii="Cambria" w:hAnsi="Cambria"/>
        </w:rPr>
      </w:pPr>
      <w:r>
        <w:rPr>
          <w:rFonts w:ascii="Cambria" w:hAnsi="Cambria"/>
          <w:b/>
        </w:rPr>
        <w:t xml:space="preserve">Brief workflow: </w:t>
      </w:r>
      <w:r>
        <w:rPr>
          <w:rFonts w:ascii="Cambria" w:hAnsi="Cambria"/>
        </w:rPr>
        <w:t>A checkout-latency alert opens a case. Metrics checks saturation, Traces localizes delay to a downstream service, and Logs and Changes finds a recent CPU-limit reduction. Normal cache timings weaken an early cache hypothesis. The coordinator cross-checks request load and resource limits before proposing restoration of the earlier limit. The operator reviews evidence and rollback, approves or rejects the action, and the system checks latency and error-rate recovery; persistent symptoms reopen the investigation.</w:t>
      </w:r>
    </w:p>
    <w:p w14:paraId="120AA836" w14:textId="77777777" w:rsidR="004530D2" w:rsidRPr="004530D2" w:rsidRDefault="004530D2" w:rsidP="004530D2">
      <w:pPr>
        <w:spacing w:after="60" w:line="240" w:lineRule="auto"/>
        <w:rPr>
          <w:rFonts w:ascii="Cambria" w:hAnsi="Cambria"/>
          <w:sz w:val="8"/>
          <w:szCs w:val="8"/>
        </w:rPr>
      </w:pPr>
    </w:p>
    <w:p w14:paraId="328240E5" w14:textId="63B6240B" w:rsidR="004530D2" w:rsidRPr="004530D2" w:rsidRDefault="00E00BBB" w:rsidP="004530D2">
      <w:pPr>
        <w:keepNext/>
        <w:rPr>
          <w:rFonts w:ascii="Cambria" w:hAnsi="Cambria"/>
        </w:rPr>
      </w:pPr>
      <w:r>
        <w:rPr>
          <w:rFonts w:ascii="Cambria" w:hAnsi="Cambria"/>
          <w:b/>
          <w:bCs/>
        </w:rPr>
        <w:t>6</w:t>
      </w:r>
      <w:r w:rsidR="004530D2" w:rsidRPr="004530D2">
        <w:rPr>
          <w:rFonts w:ascii="Cambria" w:hAnsi="Cambria"/>
          <w:b/>
          <w:bCs/>
        </w:rPr>
        <w:t>. Feasibility &amp; Resources</w:t>
      </w:r>
    </w:p>
    <w:p w14:paraId="4A0056F3" w14:textId="77777777" w:rsidR="004530D2" w:rsidRPr="004530D2" w:rsidRDefault="004530D2" w:rsidP="004530D2">
      <w:pPr>
        <w:numPr>
          <w:ilvl w:val="0"/>
          <w:numId w:val="6"/>
        </w:numPr>
        <w:spacing w:after="60" w:line="240" w:lineRule="auto"/>
        <w:ind w:left="714" w:hanging="357"/>
        <w:rPr>
          <w:rFonts w:ascii="Cambria" w:hAnsi="Cambria"/>
        </w:rPr>
      </w:pPr>
      <w:r>
        <w:rPr>
          <w:rFonts w:ascii="Cambria" w:hAnsi="Cambria"/>
          <w:b/>
        </w:rPr>
        <w:t xml:space="preserve">Data sources: </w:t>
      </w:r>
      <w:r>
        <w:rPr>
          <w:rFonts w:ascii="Cambria" w:hAnsi="Cambria"/>
        </w:rPr>
        <w:t>OpenTelemetry Demo or a comparable instrumented Docker service, with Prometheus metrics, traces, logs, deployment/configuration history, and seeded past cases. Controlled injected causes are hidden from the agents during tests.</w:t>
      </w:r>
    </w:p>
    <w:p w14:paraId="0A14863E" w14:textId="77777777" w:rsidR="004530D2" w:rsidRPr="004530D2" w:rsidRDefault="004530D2" w:rsidP="004530D2">
      <w:pPr>
        <w:numPr>
          <w:ilvl w:val="0"/>
          <w:numId w:val="6"/>
        </w:numPr>
        <w:spacing w:after="60" w:line="240" w:lineRule="auto"/>
        <w:ind w:left="714" w:hanging="357"/>
        <w:rPr>
          <w:rFonts w:ascii="Cambria" w:hAnsi="Cambria"/>
        </w:rPr>
      </w:pPr>
      <w:r>
        <w:rPr>
          <w:rFonts w:ascii="Cambria" w:hAnsi="Cambria"/>
          <w:b/>
        </w:rPr>
        <w:t xml:space="preserve">APIs and tools: </w:t>
      </w:r>
      <w:r>
        <w:rPr>
          <w:rFonts w:ascii="Cambria" w:hAnsi="Cambria"/>
        </w:rPr>
        <w:t>PromQL, OpenTelemetry trace access, bounded log search, fault injection, configuration inspection, and approval-gated remediation.</w:t>
      </w:r>
    </w:p>
    <w:p w14:paraId="506EA375" w14:textId="77777777" w:rsidR="004530D2" w:rsidRPr="004530D2" w:rsidRDefault="004530D2" w:rsidP="004530D2">
      <w:pPr>
        <w:numPr>
          <w:ilvl w:val="0"/>
          <w:numId w:val="6"/>
        </w:numPr>
        <w:spacing w:after="60" w:line="240" w:lineRule="auto"/>
        <w:ind w:left="714" w:hanging="357"/>
        <w:rPr>
          <w:rFonts w:ascii="Cambria" w:hAnsi="Cambria"/>
        </w:rPr>
      </w:pPr>
      <w:r>
        <w:rPr>
          <w:rFonts w:ascii="Cambria" w:hAnsi="Cambria"/>
          <w:b/>
        </w:rPr>
        <w:t xml:space="preserve">Software and frameworks: </w:t>
      </w:r>
      <w:r>
        <w:rPr>
          <w:rFonts w:ascii="Cambria" w:hAnsi="Cambria"/>
        </w:rPr>
        <w:t>Python, Google ADK, Docker Compose, OpenTelemetry, Prometheus, a trace backend, SQLite case memory, and a lightweight Streamlit interface.</w:t>
      </w:r>
    </w:p>
    <w:p w14:paraId="3F819C6A" w14:textId="77777777" w:rsidR="004530D2" w:rsidRPr="004530D2" w:rsidRDefault="004530D2" w:rsidP="004530D2">
      <w:pPr>
        <w:numPr>
          <w:ilvl w:val="0"/>
          <w:numId w:val="6"/>
        </w:numPr>
        <w:spacing w:after="60" w:line="240" w:lineRule="auto"/>
        <w:ind w:left="714" w:hanging="357"/>
        <w:rPr>
          <w:rFonts w:ascii="Cambria" w:hAnsi="Cambria"/>
        </w:rPr>
      </w:pPr>
      <w:r>
        <w:rPr>
          <w:rFonts w:ascii="Cambria" w:hAnsi="Cambria"/>
          <w:b/>
        </w:rPr>
        <w:t xml:space="preserve">Compute and resources: </w:t>
      </w:r>
      <w:r>
        <w:rPr>
          <w:rFonts w:ascii="Cambria" w:hAnsi="Cambria"/>
        </w:rPr>
        <w:t>A development machine able to run the demo services and telemetry stack, plus a tool-capable model endpoint. Prewarmed services support a reliable live demo.</w:t>
      </w:r>
    </w:p>
    <w:p w14:paraId="1E42FD2D" w14:textId="77777777" w:rsidR="004530D2" w:rsidRPr="00E00BBB" w:rsidRDefault="004530D2" w:rsidP="004530D2">
      <w:pPr>
        <w:rPr>
          <w:rFonts w:ascii="Cambria" w:hAnsi="Cambria"/>
          <w:b/>
          <w:bCs/>
          <w:sz w:val="14"/>
          <w:szCs w:val="14"/>
        </w:rPr>
      </w:pPr>
    </w:p>
    <w:p w14:paraId="6A5A7156" w14:textId="3506A8BC" w:rsidR="004530D2" w:rsidRDefault="00E00BBB" w:rsidP="00FB6C48">
      <w:pPr>
        <w:keepNext/>
        <w:rPr>
          <w:rFonts w:ascii="Cambria" w:hAnsi="Cambria"/>
          <w:b/>
          <w:bCs/>
        </w:rPr>
      </w:pPr>
      <w:r>
        <w:rPr>
          <w:rFonts w:ascii="Cambria" w:hAnsi="Cambria"/>
          <w:b/>
          <w:bCs/>
        </w:rPr>
        <w:t>7</w:t>
      </w:r>
      <w:r w:rsidR="004530D2" w:rsidRPr="004530D2">
        <w:rPr>
          <w:rFonts w:ascii="Cambria" w:hAnsi="Cambria"/>
          <w:b/>
          <w:bCs/>
        </w:rPr>
        <w:t>. Team Members &amp; Individual Understanding</w:t>
      </w:r>
    </w:p>
    <w:tbl>
      <w:tblPr>
        <w:tblStyle w:val="TableGrid"/>
        <w:tblW w:w="0" w:type="auto"/>
        <w:tblLook w:val="04A0" w:firstRow="1" w:lastRow="0" w:firstColumn="1" w:lastColumn="0" w:noHBand="0" w:noVBand="1"/>
      </w:tblPr>
      <w:tblGrid>
        <w:gridCol w:w="3005"/>
        <w:gridCol w:w="3005"/>
        <w:gridCol w:w="3006"/>
      </w:tblGrid>
      <w:tr w:rsidR="004530D2" w14:paraId="4E88A6EA" w14:textId="77777777" w:rsidTr="00D7051D">
        <w:trPr>
          <w:tblHeader w:val="true"/>
        </w:trPr>
        <w:tc>
          <w:tcPr>
            <w:tcW w:w="3005" w:type="dxa"/>
            <w:vAlign w:val="center"/>
          </w:tcPr>
          <w:p w14:paraId="7F4396B5" w14:textId="4A61F20C" w:rsidR="004530D2" w:rsidRDefault="004530D2" w:rsidP="00FB6C48">
            <w:pPr>
              <w:jc w:val="center"/>
              <w:rPr>
                <w:rFonts w:ascii="Cambria" w:hAnsi="Cambria"/>
              </w:rPr>
            </w:pPr>
            <w:r w:rsidRPr="004530D2">
              <w:rPr>
                <w:rFonts w:ascii="Cambria" w:hAnsi="Cambria"/>
                <w:b/>
                <w:bCs/>
              </w:rPr>
              <w:t>Member</w:t>
            </w:r>
          </w:p>
        </w:tc>
        <w:tc>
          <w:tcPr>
            <w:tcW w:w="3005" w:type="dxa"/>
            <w:vAlign w:val="center"/>
          </w:tcPr>
          <w:p w14:paraId="5EF995DD" w14:textId="2A8F9479" w:rsidR="004530D2" w:rsidRDefault="004530D2" w:rsidP="00FB6C48">
            <w:pPr>
              <w:jc w:val="center"/>
              <w:rPr>
                <w:rFonts w:ascii="Cambria" w:hAnsi="Cambria"/>
              </w:rPr>
            </w:pPr>
            <w:r w:rsidRPr="004530D2">
              <w:rPr>
                <w:rFonts w:ascii="Cambria" w:hAnsi="Cambria"/>
                <w:b/>
                <w:bCs/>
              </w:rPr>
              <w:t>Role/Responsibility</w:t>
            </w:r>
          </w:p>
        </w:tc>
        <w:tc>
          <w:tcPr>
            <w:tcW w:w="3006" w:type="dxa"/>
            <w:vAlign w:val="center"/>
          </w:tcPr>
          <w:p w14:paraId="27F71FB8" w14:textId="613F9ED3" w:rsidR="004530D2" w:rsidRDefault="004530D2" w:rsidP="00FB6C48">
            <w:pPr>
              <w:jc w:val="center"/>
              <w:rPr>
                <w:rFonts w:ascii="Cambria" w:hAnsi="Cambria"/>
              </w:rPr>
            </w:pPr>
            <w:r w:rsidRPr="004530D2">
              <w:rPr>
                <w:rFonts w:ascii="Cambria" w:hAnsi="Cambria"/>
                <w:b/>
                <w:bCs/>
              </w:rPr>
              <w:t>Individual Understanding</w:t>
            </w:r>
          </w:p>
        </w:tc>
      </w:tr>
      <w:tr w:rsidR="004530D2" w14:paraId="6A78B765" w14:textId="77777777" w:rsidTr="004530D2">
        <w:trPr>
          <w:cantSplit/>
        </w:trPr>
        <w:tc>
          <w:tcPr>
            <w:tcW w:w="3005" w:type="dxa"/>
            <w:vAlign w:val="center"/>
          </w:tcPr>
          <w:p>
            <w:pPr>
              <w:spacing w:after="0" w:line="240" w:lineRule="auto"/>
            </w:pPr>
            <w:r>
              <w:rPr>
                <w:rFonts w:ascii="Cambria" w:hAnsi="Cambria"/>
                <w:sz w:val="20"/>
              </w:rPr>
              <w:t>Nishchay Vashishtha</w:t>
            </w:r>
          </w:p>
        </w:tc>
        <w:tc>
          <w:tcPr>
            <w:tcW w:w="3005" w:type="dxa"/>
            <w:vAlign w:val="center"/>
          </w:tcPr>
          <w:p>
            <w:pPr>
              <w:spacing w:after="0" w:line="240" w:lineRule="auto"/>
            </w:pPr>
            <w:r>
              <w:rPr>
                <w:rFonts w:ascii="Cambria" w:hAnsi="Cambria"/>
                <w:sz w:val="20"/>
              </w:rPr>
              <w:t>Coordinator agents, evidence ledger, stop rules, and evaluation</w:t>
            </w:r>
          </w:p>
        </w:tc>
        <w:tc>
          <w:tcPr>
            <w:tcW w:w="3006" w:type="dxa"/>
            <w:vAlign w:val="center"/>
          </w:tcPr>
          <w:p>
            <w:pPr>
              <w:spacing w:after="0" w:line="240" w:lineRule="auto"/>
            </w:pPr>
            <w:r>
              <w:rPr>
                <w:rFonts w:ascii="Cambria" w:hAnsi="Cambria"/>
                <w:sz w:val="20"/>
              </w:rPr>
              <w:t>Can explain ADK orchestration, hypothesis revision, bounded tool use, and diagnosis metrics.</w:t>
            </w:r>
          </w:p>
        </w:tc>
      </w:tr>
      <w:tr w:rsidR="004530D2" w14:paraId="3A042F35" w14:textId="77777777" w:rsidTr="004530D2">
        <w:trPr>
          <w:cantSplit/>
        </w:trPr>
        <w:tc>
          <w:tcPr>
            <w:tcW w:w="3005" w:type="dxa"/>
            <w:vAlign w:val="center"/>
          </w:tcPr>
          <w:p>
            <w:pPr>
              <w:spacing w:after="0" w:line="240" w:lineRule="auto"/>
            </w:pPr>
            <w:r>
              <w:rPr>
                <w:rFonts w:ascii="Cambria" w:hAnsi="Cambria"/>
                <w:sz w:val="20"/>
              </w:rPr>
              <w:t>Daksh Nehra</w:t>
            </w:r>
          </w:p>
        </w:tc>
        <w:tc>
          <w:tcPr>
            <w:tcW w:w="3005" w:type="dxa"/>
            <w:vAlign w:val="center"/>
          </w:tcPr>
          <w:p>
            <w:pPr>
              <w:spacing w:after="0" w:line="240" w:lineRule="auto"/>
            </w:pPr>
            <w:r>
              <w:rPr>
                <w:rFonts w:ascii="Cambria" w:hAnsi="Cambria"/>
                <w:sz w:val="20"/>
              </w:rPr>
              <w:t>Demo environment, telemetry ingestion, query tools, and fault scenarios</w:t>
            </w:r>
          </w:p>
        </w:tc>
        <w:tc>
          <w:tcPr>
            <w:tcW w:w="3006" w:type="dxa"/>
            <w:vAlign w:val="center"/>
          </w:tcPr>
          <w:p>
            <w:pPr>
              <w:spacing w:after="0" w:line="240" w:lineRule="auto"/>
            </w:pPr>
            <w:r>
              <w:rPr>
                <w:rFonts w:ascii="Cambria" w:hAnsi="Cambria"/>
                <w:sz w:val="20"/>
              </w:rPr>
              <w:t>Can explain Prometheus and trace queries, failure injection, baseline comparison, and test ground truth.</w:t>
            </w:r>
          </w:p>
        </w:tc>
      </w:tr>
      <w:tr w:rsidR="004530D2" w14:paraId="51FDAE6B" w14:textId="77777777" w:rsidTr="004530D2">
        <w:trPr>
          <w:cantSplit/>
        </w:trPr>
        <w:tc>
          <w:tcPr>
            <w:tcW w:w="3005" w:type="dxa"/>
            <w:vAlign w:val="center"/>
          </w:tcPr>
          <w:p>
            <w:pPr>
              <w:spacing w:after="0" w:line="240" w:lineRule="auto"/>
            </w:pPr>
            <w:r>
              <w:rPr>
                <w:rFonts w:ascii="Cambria" w:hAnsi="Cambria"/>
                <w:sz w:val="20"/>
              </w:rPr>
              <w:t>Dividh Vijay</w:t>
            </w:r>
          </w:p>
        </w:tc>
        <w:tc>
          <w:tcPr>
            <w:tcW w:w="3005" w:type="dxa"/>
            <w:vAlign w:val="center"/>
          </w:tcPr>
          <w:p>
            <w:pPr>
              <w:spacing w:after="0" w:line="240" w:lineRule="auto"/>
            </w:pPr>
            <w:r>
              <w:rPr>
                <w:rFonts w:ascii="Cambria" w:hAnsi="Cambria"/>
                <w:sz w:val="20"/>
              </w:rPr>
              <w:t>Investigation UI, approval flow, recovery checks, and deployment</w:t>
            </w:r>
          </w:p>
        </w:tc>
        <w:tc>
          <w:tcPr>
            <w:tcW w:w="3006" w:type="dxa"/>
            <w:vAlign w:val="center"/>
          </w:tcPr>
          <w:p>
            <w:pPr>
              <w:spacing w:after="0" w:line="240" w:lineRule="auto"/>
            </w:pPr>
            <w:r>
              <w:rPr>
                <w:rFonts w:ascii="Cambria" w:hAnsi="Cambria"/>
                <w:sz w:val="20"/>
              </w:rPr>
              <w:t>Can explain operator review, action safeguards, dashboard state, and post-remediation verification.</w:t>
            </w:r>
          </w:p>
        </w:tc>
      </w:tr>
    </w:tbl>
    <w:p w14:paraId="3D45F6B2" w14:textId="77777777" w:rsidR="004530D2" w:rsidRPr="004530D2" w:rsidRDefault="004530D2" w:rsidP="004530D2">
      <w:pPr>
        <w:spacing w:before="100" w:after="160"/>
        <w:rPr>
          <w:rFonts w:ascii="Cambria" w:hAnsi="Cambria"/>
        </w:rPr>
      </w:pPr>
      <w:r>
        <w:rPr>
          <w:rFonts w:ascii="Cambria" w:hAnsi="Cambria"/>
          <w:b/>
        </w:rPr>
        <w:t xml:space="preserve">Role rotation: </w:t>
      </w:r>
      <w:r>
        <w:rPr>
          <w:rFonts w:ascii="Cambria" w:hAnsi="Cambria"/>
        </w:rPr>
        <w:t>Team members exchange case review, testing, and component walkthrough duties across phases; each will be able to explain and modify the core system.</w:t>
      </w:r>
    </w:p>
    <w:p w14:paraId="3B7B06AF" w14:textId="71C6616A" w:rsidR="004530D2" w:rsidRPr="004530D2" w:rsidRDefault="00E00BBB" w:rsidP="004530D2">
      <w:pPr>
        <w:keepNext/>
        <w:rPr>
          <w:rFonts w:ascii="Cambria" w:hAnsi="Cambria"/>
          <w:b/>
          <w:bCs/>
        </w:rPr>
      </w:pPr>
      <w:r>
        <w:rPr>
          <w:rFonts w:ascii="Cambria" w:hAnsi="Cambria"/>
          <w:b/>
          <w:bCs/>
        </w:rPr>
        <w:t>8</w:t>
      </w:r>
      <w:r w:rsidR="00FB6C48">
        <w:rPr>
          <w:rFonts w:ascii="Cambria" w:hAnsi="Cambria"/>
          <w:b/>
          <w:bCs/>
        </w:rPr>
        <w:t xml:space="preserve">. </w:t>
      </w:r>
      <w:r w:rsidR="004530D2" w:rsidRPr="004530D2">
        <w:rPr>
          <w:rFonts w:ascii="Cambria" w:hAnsi="Cambria"/>
          <w:b/>
          <w:bCs/>
        </w:rPr>
        <w:t>Project Timeline</w:t>
      </w:r>
    </w:p>
    <w:tbl>
      <w:tblPr>
        <w:tblW w:w="667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56"/>
        <w:gridCol w:w="1296"/>
        <w:gridCol w:w="4277"/>
      </w:tblGrid>
      <w:tr w:rsidR="004530D2" w:rsidRPr="004530D2" w14:paraId="557DF63F" w14:textId="77777777" w:rsidTr="004530D2">
        <w:trPr>
          <w:trHeight w:val="445"/>
          <w:tblHeader/>
          <w:tblCellSpacing w:w="15" w:type="dxa"/>
          <w:jc w:val="center"/>
          <w:tblHeader w:val="true"/>
        </w:trPr>
        <w:tc>
          <w:tcPr>
            <w:tcW w:w="3456" w:type="dxa"/>
            <w:vAlign w:val="center"/>
            <w:hideMark/>
          </w:tcPr>
          <w:p w14:paraId="79BC2B15" w14:textId="77777777" w:rsidR="004530D2" w:rsidRPr="004530D2" w:rsidRDefault="004530D2" w:rsidP="004530D2">
            <w:pPr>
              <w:jc w:val="center"/>
              <w:rPr>
                <w:rFonts w:ascii="Cambria" w:hAnsi="Cambria"/>
                <w:b/>
                <w:bCs/>
              </w:rPr>
            </w:pPr>
            <w:r w:rsidRPr="004530D2">
              <w:rPr>
                <w:rFonts w:ascii="Cambria" w:hAnsi="Cambria"/>
                <w:b/>
                <w:bCs/>
              </w:rPr>
              <w:t>Activity</w:t>
            </w:r>
          </w:p>
        </w:tc>
        <w:tc>
          <w:tcPr>
            <w:tcW w:w="1296" w:type="dxa"/>
            <w:vAlign w:val="center"/>
            <w:hideMark/>
          </w:tcPr>
          <w:p w14:paraId="42CDB7B8" w14:textId="77777777" w:rsidR="004530D2" w:rsidRPr="004530D2" w:rsidRDefault="004530D2" w:rsidP="004530D2">
            <w:pPr>
              <w:jc w:val="center"/>
              <w:rPr>
                <w:rFonts w:ascii="Cambria" w:hAnsi="Cambria"/>
                <w:b/>
                <w:bCs/>
              </w:rPr>
            </w:pPr>
            <w:r w:rsidRPr="004530D2">
              <w:rPr>
                <w:rFonts w:ascii="Cambria" w:hAnsi="Cambria"/>
                <w:b/>
                <w:bCs/>
              </w:rPr>
              <w:t>Week(s)</w:t>
            </w:r>
          </w:p>
        </w:tc>
        <w:tc>
          <w:tcPr>
            <w:tcW w:w="4277" w:type="dxa"/>
            <w:vAlign w:val="center"/>
            <w:hideMark/>
          </w:tcPr>
          <w:p w14:paraId="690DE7AE" w14:textId="77777777" w:rsidR="004530D2" w:rsidRPr="004530D2" w:rsidRDefault="004530D2" w:rsidP="004530D2">
            <w:pPr>
              <w:jc w:val="center"/>
              <w:rPr>
                <w:rFonts w:ascii="Cambria" w:hAnsi="Cambria"/>
                <w:b/>
                <w:bCs/>
              </w:rPr>
            </w:pPr>
            <w:r w:rsidRPr="004530D2">
              <w:rPr>
                <w:rFonts w:ascii="Cambria" w:hAnsi="Cambria"/>
                <w:b/>
                <w:bCs/>
              </w:rPr>
              <w:t>Deliverable</w:t>
            </w:r>
          </w:p>
        </w:tc>
      </w:tr>
      <w:tr w:rsidR="004530D2" w:rsidRPr="004530D2" w14:paraId="3D51F604"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Problem and Design</w:t>
            </w:r>
          </w:p>
        </w:tc>
        <w:tc>
          <w:tcPr>
            <w:tcW w:w="1296" w:type="dxa"/>
            <w:vAlign w:val="center"/>
            <w:hideMark/>
          </w:tcPr>
          <w:p>
            <w:pPr>
              <w:spacing w:after="0" w:line="240" w:lineRule="auto"/>
            </w:pPr>
            <w:r>
              <w:rPr>
                <w:rFonts w:ascii="Cambria" w:hAnsi="Cambria"/>
                <w:sz w:val="20"/>
              </w:rPr>
              <w:t>Weeks 1–2</w:t>
            </w:r>
          </w:p>
        </w:tc>
        <w:tc>
          <w:tcPr>
            <w:tcW w:w="4277" w:type="dxa"/>
            <w:vAlign w:val="center"/>
            <w:hideMark/>
          </w:tcPr>
          <w:p>
            <w:pPr>
              <w:spacing w:after="0" w:line="240" w:lineRule="auto"/>
            </w:pPr>
            <w:r>
              <w:rPr>
                <w:rFonts w:ascii="Cambria" w:hAnsi="Cambria"/>
                <w:sz w:val="20"/>
              </w:rPr>
              <w:t>Service map, case schema, incident scenarios, and agent/tool architecture.</w:t>
            </w:r>
          </w:p>
        </w:tc>
      </w:tr>
      <w:tr w:rsidR="004530D2" w:rsidRPr="004530D2" w14:paraId="6A3D5D1F"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Development and Coding</w:t>
            </w:r>
          </w:p>
        </w:tc>
        <w:tc>
          <w:tcPr>
            <w:tcW w:w="1296" w:type="dxa"/>
            <w:vAlign w:val="center"/>
            <w:hideMark/>
          </w:tcPr>
          <w:p>
            <w:pPr>
              <w:spacing w:after="0" w:line="240" w:lineRule="auto"/>
            </w:pPr>
            <w:r>
              <w:rPr>
                <w:rFonts w:ascii="Cambria" w:hAnsi="Cambria"/>
                <w:sz w:val="20"/>
              </w:rPr>
              <w:t>Weeks 3–5</w:t>
            </w:r>
          </w:p>
        </w:tc>
        <w:tc>
          <w:tcPr>
            <w:tcW w:w="4277" w:type="dxa"/>
            <w:vAlign w:val="center"/>
            <w:hideMark/>
          </w:tcPr>
          <w:p>
            <w:pPr>
              <w:spacing w:after="0" w:line="240" w:lineRule="auto"/>
            </w:pPr>
            <w:r>
              <w:rPr>
                <w:rFonts w:ascii="Cambria" w:hAnsi="Cambria"/>
                <w:sz w:val="20"/>
              </w:rPr>
              <w:t>Coordinator, three specialists, telemetry tools, and evidence ledger.</w:t>
            </w:r>
          </w:p>
        </w:tc>
      </w:tr>
      <w:tr w:rsidR="004530D2" w:rsidRPr="004530D2" w14:paraId="35949CBD"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Integration and Testing</w:t>
            </w:r>
          </w:p>
        </w:tc>
        <w:tc>
          <w:tcPr>
            <w:tcW w:w="1296" w:type="dxa"/>
            <w:vAlign w:val="center"/>
            <w:hideMark/>
          </w:tcPr>
          <w:p>
            <w:pPr>
              <w:spacing w:after="0" w:line="240" w:lineRule="auto"/>
            </w:pPr>
            <w:r>
              <w:rPr>
                <w:rFonts w:ascii="Cambria" w:hAnsi="Cambria"/>
                <w:sz w:val="20"/>
              </w:rPr>
              <w:t>Weeks 6–7</w:t>
            </w:r>
          </w:p>
        </w:tc>
        <w:tc>
          <w:tcPr>
            <w:tcW w:w="4277" w:type="dxa"/>
            <w:vAlign w:val="center"/>
            <w:hideMark/>
          </w:tcPr>
          <w:p>
            <w:pPr>
              <w:spacing w:after="0" w:line="240" w:lineRule="auto"/>
            </w:pPr>
            <w:r>
              <w:rPr>
                <w:rFonts w:ascii="Cambria" w:hAnsi="Cambria"/>
                <w:sz w:val="20"/>
              </w:rPr>
              <w:t>Instrumented demo, controlled faults, approval-gated action path.</w:t>
            </w:r>
          </w:p>
        </w:tc>
      </w:tr>
      <w:tr w:rsidR="004530D2" w:rsidRPr="004530D2" w14:paraId="6740A9DC"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Evaluation and Refinement</w:t>
            </w:r>
          </w:p>
        </w:tc>
        <w:tc>
          <w:tcPr>
            <w:tcW w:w="1296" w:type="dxa"/>
            <w:vAlign w:val="center"/>
            <w:hideMark/>
          </w:tcPr>
          <w:p>
            <w:pPr>
              <w:spacing w:after="0" w:line="240" w:lineRule="auto"/>
            </w:pPr>
            <w:r>
              <w:rPr>
                <w:rFonts w:ascii="Cambria" w:hAnsi="Cambria"/>
                <w:sz w:val="20"/>
              </w:rPr>
              <w:t>Week 8</w:t>
            </w:r>
          </w:p>
        </w:tc>
        <w:tc>
          <w:tcPr>
            <w:tcW w:w="4277" w:type="dxa"/>
            <w:vAlign w:val="center"/>
            <w:hideMark/>
          </w:tcPr>
          <w:p>
            <w:pPr>
              <w:spacing w:after="0" w:line="240" w:lineRule="auto"/>
            </w:pPr>
            <w:r>
              <w:rPr>
                <w:rFonts w:ascii="Cambria" w:hAnsi="Cambria"/>
                <w:sz w:val="20"/>
              </w:rPr>
              <w:t>Diagnosis tests, uncertainty cases, and single-agent comparison.</w:t>
            </w:r>
          </w:p>
        </w:tc>
      </w:tr>
      <w:tr w:rsidR="009A72C6" w:rsidRPr="004530D2" w14:paraId="4CDBCF2A" w14:textId="77777777" w:rsidTr="004530D2">
        <w:trPr>
          <w:trHeight w:val="445"/>
          <w:tblCellSpacing w:w="15" w:type="dxa"/>
          <w:jc w:val="center"/>
          <w:cantSplit/>
        </w:trPr>
        <w:tc>
          <w:tcPr>
            <w:tcW w:w="3456" w:type="dxa"/>
            <w:vAlign w:val="center"/>
          </w:tcPr>
          <w:p>
            <w:pPr>
              <w:spacing w:after="0" w:line="240" w:lineRule="auto"/>
            </w:pPr>
            <w:r>
              <w:rPr>
                <w:rFonts w:ascii="Cambria" w:hAnsi="Cambria"/>
                <w:sz w:val="20"/>
              </w:rPr>
              <w:t>Presentation/Interface UI</w:t>
            </w:r>
          </w:p>
        </w:tc>
        <w:tc>
          <w:tcPr>
            <w:tcW w:w="1296" w:type="dxa"/>
            <w:vAlign w:val="center"/>
          </w:tcPr>
          <w:p>
            <w:pPr>
              <w:spacing w:after="0" w:line="240" w:lineRule="auto"/>
            </w:pPr>
            <w:r>
              <w:rPr>
                <w:rFonts w:ascii="Cambria" w:hAnsi="Cambria"/>
                <w:sz w:val="20"/>
              </w:rPr>
              <w:t>Week 9</w:t>
            </w:r>
          </w:p>
        </w:tc>
        <w:tc>
          <w:tcPr>
            <w:tcW w:w="4277" w:type="dxa"/>
            <w:vAlign w:val="center"/>
          </w:tcPr>
          <w:p>
            <w:pPr>
              <w:spacing w:after="0" w:line="240" w:lineRule="auto"/>
            </w:pPr>
            <w:r>
              <w:rPr>
                <w:rFonts w:ascii="Cambria" w:hAnsi="Cambria"/>
                <w:sz w:val="20"/>
              </w:rPr>
              <w:t>Dashboard with live agent activity and evidence references.</w:t>
            </w:r>
          </w:p>
        </w:tc>
      </w:tr>
      <w:tr w:rsidR="004530D2" w:rsidRPr="004530D2" w14:paraId="74A2F61F" w14:textId="77777777" w:rsidTr="004530D2">
        <w:trPr>
          <w:trHeight w:val="445"/>
          <w:tblCellSpacing w:w="15" w:type="dxa"/>
          <w:jc w:val="center"/>
          <w:cantSplit/>
        </w:trPr>
        <w:tc>
          <w:tcPr>
            <w:tcW w:w="3456" w:type="dxa"/>
            <w:vAlign w:val="center"/>
          </w:tcPr>
          <w:p>
            <w:pPr>
              <w:spacing w:after="0" w:line="240" w:lineRule="auto"/>
            </w:pPr>
            <w:r>
              <w:rPr>
                <w:rFonts w:ascii="Cambria" w:hAnsi="Cambria"/>
                <w:sz w:val="20"/>
              </w:rPr>
              <w:t>Deployment</w:t>
            </w:r>
          </w:p>
        </w:tc>
        <w:tc>
          <w:tcPr>
            <w:tcW w:w="1296" w:type="dxa"/>
            <w:vAlign w:val="center"/>
          </w:tcPr>
          <w:p>
            <w:pPr>
              <w:spacing w:after="0" w:line="240" w:lineRule="auto"/>
            </w:pPr>
            <w:r>
              <w:rPr>
                <w:rFonts w:ascii="Cambria" w:hAnsi="Cambria"/>
                <w:sz w:val="20"/>
              </w:rPr>
              <w:t>Week 10</w:t>
            </w:r>
          </w:p>
        </w:tc>
        <w:tc>
          <w:tcPr>
            <w:tcW w:w="4277" w:type="dxa"/>
            <w:vAlign w:val="center"/>
          </w:tcPr>
          <w:p>
            <w:pPr>
              <w:spacing w:after="0" w:line="240" w:lineRule="auto"/>
            </w:pPr>
            <w:r>
              <w:rPr>
                <w:rFonts w:ascii="Cambria" w:hAnsi="Cambria"/>
                <w:sz w:val="20"/>
              </w:rPr>
              <w:t>Reproducible Docker setup, seeded cases, and run guide.</w:t>
            </w:r>
          </w:p>
        </w:tc>
      </w:tr>
      <w:tr w:rsidR="004530D2" w:rsidRPr="004530D2" w14:paraId="1C1C74D2"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Final Demo</w:t>
            </w:r>
          </w:p>
        </w:tc>
        <w:tc>
          <w:tcPr>
            <w:tcW w:w="1296" w:type="dxa"/>
            <w:vAlign w:val="center"/>
            <w:hideMark/>
          </w:tcPr>
          <w:p>
            <w:pPr>
              <w:spacing w:after="0" w:line="240" w:lineRule="auto"/>
            </w:pPr>
            <w:r>
              <w:rPr>
                <w:rFonts w:ascii="Cambria" w:hAnsi="Cambria"/>
                <w:sz w:val="20"/>
              </w:rPr>
              <w:t>Week 11</w:t>
            </w:r>
          </w:p>
        </w:tc>
        <w:tc>
          <w:tcPr>
            <w:tcW w:w="4277" w:type="dxa"/>
            <w:vAlign w:val="center"/>
            <w:hideMark/>
          </w:tcPr>
          <w:p>
            <w:pPr>
              <w:spacing w:after="0" w:line="240" w:lineRule="auto"/>
            </w:pPr>
            <w:r>
              <w:rPr>
                <w:rFonts w:ascii="Cambria" w:hAnsi="Cambria"/>
                <w:sz w:val="20"/>
              </w:rPr>
              <w:t>Live fault, rejected hypothesis, approved fix, and recovery check.</w:t>
            </w:r>
          </w:p>
        </w:tc>
      </w:tr>
    </w:tbl>
    <w:p w14:paraId="0ABA68F2" w14:textId="7AA2E61C" w:rsidR="004530D2" w:rsidRPr="004530D2" w:rsidRDefault="004530D2" w:rsidP="004530D2">
      <w:pPr>
        <w:rPr>
          <w:rFonts w:ascii="Cambria" w:hAnsi="Cambria"/>
        </w:rPr>
      </w:pPr>
    </w:p>
    <w:p w14:paraId="2C58B86C" w14:textId="64585FE7" w:rsidR="004530D2" w:rsidRPr="004530D2" w:rsidRDefault="00E00BBB" w:rsidP="004530D2">
      <w:pPr>
        <w:keepNext/>
        <w:pageBreakBefore/>
        <w:rPr>
          <w:rFonts w:ascii="Cambria" w:hAnsi="Cambria"/>
          <w:b/>
          <w:bCs/>
        </w:rPr>
      </w:pPr>
      <w:r>
        <w:rPr>
          <w:rFonts w:ascii="Cambria" w:hAnsi="Cambria"/>
          <w:b/>
          <w:bCs/>
        </w:rPr>
        <w:t>9</w:t>
      </w:r>
      <w:r w:rsidR="00FB6C48">
        <w:rPr>
          <w:rFonts w:ascii="Cambria" w:hAnsi="Cambria"/>
          <w:b/>
          <w:bCs/>
        </w:rPr>
        <w:t xml:space="preserve">. </w:t>
      </w:r>
      <w:r w:rsidR="004530D2" w:rsidRPr="004530D2">
        <w:rPr>
          <w:rFonts w:ascii="Cambria" w:hAnsi="Cambria"/>
          <w:b/>
          <w:bCs/>
        </w:rPr>
        <w:t>Team Responsibility Matrix</w:t>
      </w:r>
    </w:p>
    <w:tbl>
      <w:tblPr>
        <w:tblW w:w="88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629"/>
        <w:gridCol w:w="1800"/>
        <w:gridCol w:w="1800"/>
        <w:gridCol w:w="1800"/>
      </w:tblGrid>
      <w:tr w:rsidR="004530D2" w:rsidRPr="004530D2" w14:paraId="04692AA7" w14:textId="77777777" w:rsidTr="004530D2">
        <w:trPr>
          <w:trHeight w:val="458"/>
          <w:tblHeader/>
          <w:tblCellSpacing w:w="15" w:type="dxa"/>
          <w:tblHeader w:val="true"/>
        </w:trPr>
        <w:tc>
          <w:tcPr>
            <w:tcW w:w="3629" w:type="dxa"/>
            <w:vAlign w:val="center"/>
            <w:hideMark/>
          </w:tcPr>
          <w:p>
            <w:pPr>
              <w:spacing w:after="0" w:line="240" w:lineRule="auto"/>
            </w:pPr>
            <w:r>
              <w:rPr>
                <w:rFonts w:ascii="Cambria" w:hAnsi="Cambria"/>
                <w:b/>
                <w:sz w:val="20"/>
              </w:rPr>
              <w:t>Activity</w:t>
            </w:r>
          </w:p>
        </w:tc>
        <w:tc>
          <w:tcPr>
            <w:tcW w:w="1800" w:type="dxa"/>
            <w:vAlign w:val="center"/>
            <w:hideMark/>
          </w:tcPr>
          <w:p>
            <w:pPr>
              <w:spacing w:after="0" w:line="240" w:lineRule="auto"/>
            </w:pPr>
            <w:r>
              <w:rPr>
                <w:rFonts w:ascii="Cambria" w:hAnsi="Cambria"/>
                <w:b/>
                <w:sz w:val="20"/>
              </w:rPr>
              <w:t>Nishchay</w:t>
            </w:r>
          </w:p>
        </w:tc>
        <w:tc>
          <w:tcPr>
            <w:tcW w:w="1800" w:type="dxa"/>
            <w:vAlign w:val="center"/>
            <w:hideMark/>
          </w:tcPr>
          <w:p>
            <w:pPr>
              <w:spacing w:after="0" w:line="240" w:lineRule="auto"/>
            </w:pPr>
            <w:r>
              <w:rPr>
                <w:rFonts w:ascii="Cambria" w:hAnsi="Cambria"/>
                <w:b/>
                <w:sz w:val="20"/>
              </w:rPr>
              <w:t>Daksh</w:t>
            </w:r>
          </w:p>
        </w:tc>
        <w:tc>
          <w:tcPr>
            <w:tcW w:w="1800" w:type="dxa"/>
            <w:vAlign w:val="center"/>
            <w:hideMark/>
          </w:tcPr>
          <w:p>
            <w:pPr>
              <w:spacing w:after="0" w:line="240" w:lineRule="auto"/>
            </w:pPr>
            <w:r>
              <w:rPr>
                <w:rFonts w:ascii="Cambria" w:hAnsi="Cambria"/>
                <w:b/>
                <w:sz w:val="20"/>
              </w:rPr>
              <w:t>Dividh</w:t>
            </w:r>
          </w:p>
        </w:tc>
      </w:tr>
      <w:tr w:rsidR="004530D2" w:rsidRPr="004530D2" w14:paraId="222156DB" w14:textId="77777777" w:rsidTr="004530D2">
        <w:trPr>
          <w:trHeight w:val="458"/>
          <w:tblCellSpacing w:w="15" w:type="dxa"/>
          <w:cantSplit/>
        </w:trPr>
        <w:tc>
          <w:tcPr>
            <w:tcW w:w="3629" w:type="dxa"/>
            <w:vAlign w:val="center"/>
            <w:hideMark/>
          </w:tcPr>
          <w:p>
            <w:pPr>
              <w:spacing w:after="0" w:line="240" w:lineRule="auto"/>
            </w:pPr>
            <w:r>
              <w:rPr>
                <w:rFonts w:ascii="Cambria" w:hAnsi="Cambria"/>
                <w:sz w:val="20"/>
              </w:rPr>
              <w:t>Agent Design</w:t>
            </w:r>
          </w:p>
        </w:tc>
        <w:tc>
          <w:tcPr>
            <w:tcW w:w="1800" w:type="dxa"/>
            <w:vAlign w:val="center"/>
            <w:hideMark/>
          </w:tcPr>
          <w:p>
            <w:pPr>
              <w:spacing w:after="0" w:line="240" w:lineRule="auto"/>
            </w:pPr>
            <w:r>
              <w:rPr>
                <w:rFonts w:ascii="Cambria" w:hAnsi="Cambria"/>
                <w:sz w:val="20"/>
              </w:rPr>
              <w:t>Primary</w:t>
            </w:r>
          </w:p>
        </w:tc>
        <w:tc>
          <w:tcPr>
            <w:tcW w:w="1800" w:type="dxa"/>
            <w:vAlign w:val="center"/>
            <w:hideMark/>
          </w:tcPr>
          <w:p>
            <w:pPr>
              <w:spacing w:after="0" w:line="240" w:lineRule="auto"/>
            </w:pPr>
            <w:r>
              <w:rPr>
                <w:rFonts w:ascii="Cambria" w:hAnsi="Cambria"/>
                <w:sz w:val="20"/>
              </w:rPr>
              <w:t>Support</w:t>
            </w:r>
          </w:p>
        </w:tc>
        <w:tc>
          <w:tcPr>
            <w:tcW w:w="1800" w:type="dxa"/>
            <w:vAlign w:val="center"/>
            <w:hideMark/>
          </w:tcPr>
          <w:p>
            <w:pPr>
              <w:spacing w:after="0" w:line="240" w:lineRule="auto"/>
            </w:pPr>
            <w:r>
              <w:rPr>
                <w:rFonts w:ascii="Cambria" w:hAnsi="Cambria"/>
                <w:sz w:val="20"/>
              </w:rPr>
              <w:t>Review</w:t>
            </w:r>
          </w:p>
        </w:tc>
      </w:tr>
      <w:tr w:rsidR="004530D2" w:rsidRPr="004530D2" w14:paraId="0EB43819" w14:textId="77777777" w:rsidTr="004530D2">
        <w:trPr>
          <w:trHeight w:val="458"/>
          <w:tblCellSpacing w:w="15" w:type="dxa"/>
          <w:cantSplit/>
        </w:trPr>
        <w:tc>
          <w:tcPr>
            <w:tcW w:w="3629" w:type="dxa"/>
            <w:vAlign w:val="center"/>
            <w:hideMark/>
          </w:tcPr>
          <w:p>
            <w:pPr>
              <w:spacing w:after="0" w:line="240" w:lineRule="auto"/>
            </w:pPr>
            <w:r>
              <w:rPr>
                <w:rFonts w:ascii="Cambria" w:hAnsi="Cambria"/>
                <w:sz w:val="20"/>
              </w:rPr>
              <w:t>Agent/Tool Development</w:t>
            </w:r>
          </w:p>
        </w:tc>
        <w:tc>
          <w:tcPr>
            <w:tcW w:w="1800" w:type="dxa"/>
            <w:vAlign w:val="center"/>
            <w:hideMark/>
          </w:tcPr>
          <w:p>
            <w:pPr>
              <w:spacing w:after="0" w:line="240" w:lineRule="auto"/>
            </w:pPr>
            <w:r>
              <w:rPr>
                <w:rFonts w:ascii="Cambria" w:hAnsi="Cambria"/>
                <w:sz w:val="20"/>
              </w:rPr>
              <w:t>Support</w:t>
            </w:r>
          </w:p>
        </w:tc>
        <w:tc>
          <w:tcPr>
            <w:tcW w:w="1800" w:type="dxa"/>
            <w:vAlign w:val="center"/>
            <w:hideMark/>
          </w:tcPr>
          <w:p>
            <w:pPr>
              <w:spacing w:after="0" w:line="240" w:lineRule="auto"/>
            </w:pPr>
            <w:r>
              <w:rPr>
                <w:rFonts w:ascii="Cambria" w:hAnsi="Cambria"/>
                <w:sz w:val="20"/>
              </w:rPr>
              <w:t>Primary</w:t>
            </w:r>
          </w:p>
        </w:tc>
        <w:tc>
          <w:tcPr>
            <w:tcW w:w="1800" w:type="dxa"/>
            <w:vAlign w:val="center"/>
            <w:hideMark/>
          </w:tcPr>
          <w:p>
            <w:pPr>
              <w:spacing w:after="0" w:line="240" w:lineRule="auto"/>
            </w:pPr>
            <w:r>
              <w:rPr>
                <w:rFonts w:ascii="Cambria" w:hAnsi="Cambria"/>
                <w:sz w:val="20"/>
              </w:rPr>
              <w:t>Support</w:t>
            </w:r>
          </w:p>
        </w:tc>
      </w:tr>
      <w:tr w:rsidR="004530D2" w:rsidRPr="004530D2" w14:paraId="784962AC" w14:textId="77777777" w:rsidTr="004530D2">
        <w:trPr>
          <w:trHeight w:val="458"/>
          <w:tblCellSpacing w:w="15" w:type="dxa"/>
          <w:cantSplit/>
        </w:trPr>
        <w:tc>
          <w:tcPr>
            <w:tcW w:w="3629" w:type="dxa"/>
            <w:vAlign w:val="center"/>
            <w:hideMark/>
          </w:tcPr>
          <w:p>
            <w:pPr>
              <w:spacing w:after="0" w:line="240" w:lineRule="auto"/>
            </w:pPr>
            <w:r>
              <w:rPr>
                <w:rFonts w:ascii="Cambria" w:hAnsi="Cambria"/>
                <w:sz w:val="20"/>
              </w:rPr>
              <w:t>Integration and Testing</w:t>
            </w:r>
          </w:p>
        </w:tc>
        <w:tc>
          <w:tcPr>
            <w:tcW w:w="1800" w:type="dxa"/>
            <w:vAlign w:val="center"/>
            <w:hideMark/>
          </w:tcPr>
          <w:p>
            <w:pPr>
              <w:spacing w:after="0" w:line="240" w:lineRule="auto"/>
            </w:pPr>
            <w:r>
              <w:rPr>
                <w:rFonts w:ascii="Cambria" w:hAnsi="Cambria"/>
                <w:sz w:val="20"/>
              </w:rPr>
              <w:t>Support</w:t>
            </w:r>
          </w:p>
        </w:tc>
        <w:tc>
          <w:tcPr>
            <w:tcW w:w="1800" w:type="dxa"/>
            <w:vAlign w:val="center"/>
            <w:hideMark/>
          </w:tcPr>
          <w:p>
            <w:pPr>
              <w:spacing w:after="0" w:line="240" w:lineRule="auto"/>
            </w:pPr>
            <w:r>
              <w:rPr>
                <w:rFonts w:ascii="Cambria" w:hAnsi="Cambria"/>
                <w:sz w:val="20"/>
              </w:rPr>
              <w:t>Primary</w:t>
            </w:r>
          </w:p>
        </w:tc>
        <w:tc>
          <w:tcPr>
            <w:tcW w:w="1800" w:type="dxa"/>
            <w:vAlign w:val="center"/>
            <w:hideMark/>
          </w:tcPr>
          <w:p>
            <w:pPr>
              <w:spacing w:after="0" w:line="240" w:lineRule="auto"/>
            </w:pPr>
            <w:r>
              <w:rPr>
                <w:rFonts w:ascii="Cambria" w:hAnsi="Cambria"/>
                <w:sz w:val="20"/>
              </w:rPr>
              <w:t>Primary</w:t>
            </w:r>
          </w:p>
        </w:tc>
      </w:tr>
      <w:tr w:rsidR="004530D2" w:rsidRPr="004530D2" w14:paraId="14E4D71F" w14:textId="77777777" w:rsidTr="004530D2">
        <w:trPr>
          <w:trHeight w:val="458"/>
          <w:tblCellSpacing w:w="15" w:type="dxa"/>
          <w:cantSplit/>
        </w:trPr>
        <w:tc>
          <w:tcPr>
            <w:tcW w:w="3629" w:type="dxa"/>
            <w:vAlign w:val="center"/>
            <w:hideMark/>
          </w:tcPr>
          <w:p>
            <w:pPr>
              <w:spacing w:after="0" w:line="240" w:lineRule="auto"/>
            </w:pPr>
            <w:r>
              <w:rPr>
                <w:rFonts w:ascii="Cambria" w:hAnsi="Cambria"/>
                <w:sz w:val="20"/>
              </w:rPr>
              <w:t>Evaluation and Documentation</w:t>
            </w:r>
          </w:p>
        </w:tc>
        <w:tc>
          <w:tcPr>
            <w:tcW w:w="1800" w:type="dxa"/>
            <w:vAlign w:val="center"/>
            <w:hideMark/>
          </w:tcPr>
          <w:p>
            <w:pPr>
              <w:spacing w:after="0" w:line="240" w:lineRule="auto"/>
            </w:pPr>
            <w:r>
              <w:rPr>
                <w:rFonts w:ascii="Cambria" w:hAnsi="Cambria"/>
                <w:sz w:val="20"/>
              </w:rPr>
              <w:t>Primary</w:t>
            </w:r>
          </w:p>
        </w:tc>
        <w:tc>
          <w:tcPr>
            <w:tcW w:w="1800" w:type="dxa"/>
            <w:vAlign w:val="center"/>
            <w:hideMark/>
          </w:tcPr>
          <w:p>
            <w:pPr>
              <w:spacing w:after="0" w:line="240" w:lineRule="auto"/>
            </w:pPr>
            <w:r>
              <w:rPr>
                <w:rFonts w:ascii="Cambria" w:hAnsi="Cambria"/>
                <w:sz w:val="20"/>
              </w:rPr>
              <w:t>Support</w:t>
            </w:r>
          </w:p>
        </w:tc>
        <w:tc>
          <w:tcPr>
            <w:tcW w:w="1800" w:type="dxa"/>
            <w:vAlign w:val="center"/>
            <w:hideMark/>
          </w:tcPr>
          <w:p>
            <w:pPr>
              <w:spacing w:after="0" w:line="240" w:lineRule="auto"/>
            </w:pPr>
            <w:r>
              <w:rPr>
                <w:rFonts w:ascii="Cambria" w:hAnsi="Cambria"/>
                <w:sz w:val="20"/>
              </w:rPr>
              <w:t>Support</w:t>
            </w:r>
          </w:p>
        </w:tc>
      </w:tr>
      <w:tr w:rsidR="004530D2" w:rsidRPr="004530D2" w14:paraId="2F7F1EE2" w14:textId="77777777" w:rsidTr="004530D2">
        <w:trPr>
          <w:trHeight w:val="458"/>
          <w:tblCellSpacing w:w="15" w:type="dxa"/>
          <w:cantSplit/>
        </w:trPr>
        <w:tc>
          <w:tcPr>
            <w:tcW w:w="3629" w:type="dxa"/>
            <w:vAlign w:val="center"/>
          </w:tcPr>
          <w:p>
            <w:pPr>
              <w:spacing w:after="0" w:line="240" w:lineRule="auto"/>
            </w:pPr>
            <w:r>
              <w:rPr>
                <w:rFonts w:ascii="Cambria" w:hAnsi="Cambria"/>
                <w:sz w:val="20"/>
              </w:rPr>
              <w:t>Presentation/Interface UI</w:t>
            </w:r>
          </w:p>
        </w:tc>
        <w:tc>
          <w:tcPr>
            <w:tcW w:w="1800" w:type="dxa"/>
            <w:vAlign w:val="center"/>
          </w:tcPr>
          <w:p>
            <w:pPr>
              <w:spacing w:after="0" w:line="240" w:lineRule="auto"/>
            </w:pPr>
            <w:r>
              <w:rPr>
                <w:rFonts w:ascii="Cambria" w:hAnsi="Cambria"/>
                <w:sz w:val="20"/>
              </w:rPr>
              <w:t>Review</w:t>
            </w:r>
          </w:p>
        </w:tc>
        <w:tc>
          <w:tcPr>
            <w:tcW w:w="1800" w:type="dxa"/>
            <w:vAlign w:val="center"/>
          </w:tcPr>
          <w:p>
            <w:pPr>
              <w:spacing w:after="0" w:line="240" w:lineRule="auto"/>
            </w:pPr>
            <w:r>
              <w:rPr>
                <w:rFonts w:ascii="Cambria" w:hAnsi="Cambria"/>
                <w:sz w:val="20"/>
              </w:rPr>
              <w:t>Support</w:t>
            </w:r>
          </w:p>
        </w:tc>
        <w:tc>
          <w:tcPr>
            <w:tcW w:w="1800" w:type="dxa"/>
            <w:vAlign w:val="center"/>
          </w:tcPr>
          <w:p>
            <w:pPr>
              <w:spacing w:after="0" w:line="240" w:lineRule="auto"/>
            </w:pPr>
            <w:r>
              <w:rPr>
                <w:rFonts w:ascii="Cambria" w:hAnsi="Cambria"/>
                <w:sz w:val="20"/>
              </w:rPr>
              <w:t>Primary</w:t>
            </w:r>
          </w:p>
        </w:tc>
      </w:tr>
      <w:tr w:rsidR="004530D2" w:rsidRPr="004530D2" w14:paraId="1E533036" w14:textId="77777777" w:rsidTr="004530D2">
        <w:trPr>
          <w:trHeight w:val="458"/>
          <w:tblCellSpacing w:w="15" w:type="dxa"/>
          <w:cantSplit/>
        </w:trPr>
        <w:tc>
          <w:tcPr>
            <w:tcW w:w="3629" w:type="dxa"/>
            <w:vAlign w:val="center"/>
          </w:tcPr>
          <w:p>
            <w:pPr>
              <w:spacing w:after="0" w:line="240" w:lineRule="auto"/>
            </w:pPr>
            <w:r>
              <w:rPr>
                <w:rFonts w:ascii="Cambria" w:hAnsi="Cambria"/>
                <w:sz w:val="20"/>
              </w:rPr>
              <w:t>Deployment</w:t>
            </w:r>
          </w:p>
        </w:tc>
        <w:tc>
          <w:tcPr>
            <w:tcW w:w="1800" w:type="dxa"/>
            <w:vAlign w:val="center"/>
          </w:tcPr>
          <w:p>
            <w:pPr>
              <w:spacing w:after="0" w:line="240" w:lineRule="auto"/>
            </w:pPr>
            <w:r>
              <w:rPr>
                <w:rFonts w:ascii="Cambria" w:hAnsi="Cambria"/>
                <w:sz w:val="20"/>
              </w:rPr>
              <w:t>Support</w:t>
            </w:r>
          </w:p>
        </w:tc>
        <w:tc>
          <w:tcPr>
            <w:tcW w:w="1800" w:type="dxa"/>
            <w:vAlign w:val="center"/>
          </w:tcPr>
          <w:p>
            <w:pPr>
              <w:spacing w:after="0" w:line="240" w:lineRule="auto"/>
            </w:pPr>
            <w:r>
              <w:rPr>
                <w:rFonts w:ascii="Cambria" w:hAnsi="Cambria"/>
                <w:sz w:val="20"/>
              </w:rPr>
              <w:t>Support</w:t>
            </w:r>
          </w:p>
        </w:tc>
        <w:tc>
          <w:tcPr>
            <w:tcW w:w="1800" w:type="dxa"/>
            <w:vAlign w:val="center"/>
          </w:tcPr>
          <w:p>
            <w:pPr>
              <w:spacing w:after="0" w:line="240" w:lineRule="auto"/>
            </w:pPr>
            <w:r>
              <w:rPr>
                <w:rFonts w:ascii="Cambria" w:hAnsi="Cambria"/>
                <w:sz w:val="20"/>
              </w:rPr>
              <w:t>Primary</w:t>
            </w:r>
          </w:p>
        </w:tc>
      </w:tr>
    </w:tbl>
    <w:p w14:paraId="2A1D7084" w14:textId="46ECCE64" w:rsidR="004530D2" w:rsidRPr="004530D2" w:rsidRDefault="004530D2" w:rsidP="004530D2">
      <w:pPr>
        <w:rPr>
          <w:rFonts w:ascii="Cambria" w:hAnsi="Cambria"/>
        </w:rPr>
      </w:pPr>
    </w:p>
    <w:p w14:paraId="120AB8A1" w14:textId="77777777" w:rsidR="004530D2" w:rsidRPr="004530D2" w:rsidRDefault="004530D2" w:rsidP="00D87CA9">
      <w:pPr>
        <w:rPr>
          <w:rFonts w:ascii="Cambria" w:hAnsi="Cambria"/>
        </w:rPr>
      </w:pPr>
    </w:p>
    <w:sectPr w:rsidR="004530D2" w:rsidRPr="004530D2" w:rsidSect="00D87CA9">
      <w:headerReference w:type="default" r:id="rId7"/>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E3D5C" w14:textId="77777777" w:rsidR="009C6F23" w:rsidRDefault="009C6F23" w:rsidP="00D87CA9">
      <w:pPr>
        <w:spacing w:after="0" w:line="240" w:lineRule="auto"/>
      </w:pPr>
      <w:r>
        <w:separator/>
      </w:r>
    </w:p>
  </w:endnote>
  <w:endnote w:type="continuationSeparator" w:id="0">
    <w:p w14:paraId="145866F2" w14:textId="77777777" w:rsidR="009C6F23" w:rsidRDefault="009C6F23" w:rsidP="00D87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5B51D" w14:textId="77777777" w:rsidR="009C6F23" w:rsidRDefault="009C6F23" w:rsidP="00D87CA9">
      <w:pPr>
        <w:spacing w:after="0" w:line="240" w:lineRule="auto"/>
      </w:pPr>
      <w:r>
        <w:separator/>
      </w:r>
    </w:p>
  </w:footnote>
  <w:footnote w:type="continuationSeparator" w:id="0">
    <w:p w14:paraId="66DA5229" w14:textId="77777777" w:rsidR="009C6F23" w:rsidRDefault="009C6F23" w:rsidP="00D87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811A" w14:textId="6DCD167D" w:rsidR="00D87CA9" w:rsidRPr="00D87CA9" w:rsidRDefault="008D773F">
    <w:pPr>
      <w:pStyle w:val="Header"/>
      <w:rPr>
        <w:rFonts w:ascii="Cambria" w:hAnsi="Cambria"/>
        <w:sz w:val="24"/>
        <w:szCs w:val="24"/>
      </w:rPr>
    </w:pPr>
    <w:r>
      <w:rPr>
        <w:rFonts w:ascii="Cambria" w:hAnsi="Cambria"/>
        <w:sz w:val="24"/>
        <w:szCs w:val="24"/>
      </w:rPr>
      <w:t>Agentic AI</w:t>
    </w:r>
    <w:r w:rsidR="00D87CA9" w:rsidRPr="00D87CA9">
      <w:rPr>
        <w:rFonts w:ascii="Cambria" w:hAnsi="Cambria"/>
        <w:sz w:val="24"/>
        <w:szCs w:val="24"/>
      </w:rPr>
      <w:t xml:space="preserve">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4C95"/>
    <w:multiLevelType w:val="multilevel"/>
    <w:tmpl w:val="7AC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61C92"/>
    <w:multiLevelType w:val="multilevel"/>
    <w:tmpl w:val="876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A5C0E"/>
    <w:multiLevelType w:val="multilevel"/>
    <w:tmpl w:val="814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06B24"/>
    <w:multiLevelType w:val="multilevel"/>
    <w:tmpl w:val="32F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B00A1"/>
    <w:multiLevelType w:val="multilevel"/>
    <w:tmpl w:val="C23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44A1D"/>
    <w:multiLevelType w:val="multilevel"/>
    <w:tmpl w:val="F56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76296">
    <w:abstractNumId w:val="5"/>
  </w:num>
  <w:num w:numId="2" w16cid:durableId="1261791157">
    <w:abstractNumId w:val="4"/>
  </w:num>
  <w:num w:numId="3" w16cid:durableId="2027823577">
    <w:abstractNumId w:val="0"/>
  </w:num>
  <w:num w:numId="4" w16cid:durableId="1667048864">
    <w:abstractNumId w:val="2"/>
  </w:num>
  <w:num w:numId="5" w16cid:durableId="1179928806">
    <w:abstractNumId w:val="1"/>
  </w:num>
  <w:num w:numId="6" w16cid:durableId="1932928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A9"/>
    <w:rsid w:val="00125C87"/>
    <w:rsid w:val="001733A8"/>
    <w:rsid w:val="003259C8"/>
    <w:rsid w:val="003820C9"/>
    <w:rsid w:val="004530D2"/>
    <w:rsid w:val="007F3D03"/>
    <w:rsid w:val="00886FDD"/>
    <w:rsid w:val="008D773F"/>
    <w:rsid w:val="009A72C6"/>
    <w:rsid w:val="009C6F23"/>
    <w:rsid w:val="00AC2C07"/>
    <w:rsid w:val="00C17A9E"/>
    <w:rsid w:val="00D87CA9"/>
    <w:rsid w:val="00E00BBB"/>
    <w:rsid w:val="00F3501D"/>
    <w:rsid w:val="00FB6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ED55"/>
  <w15:chartTrackingRefBased/>
  <w15:docId w15:val="{162454CD-FE1F-43B5-9D7C-62BD2F442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A9"/>
    <w:rPr>
      <w:rFonts w:eastAsiaTheme="majorEastAsia" w:cstheme="majorBidi"/>
      <w:color w:val="272727" w:themeColor="text1" w:themeTint="D8"/>
    </w:rPr>
  </w:style>
  <w:style w:type="paragraph" w:styleId="Title">
    <w:name w:val="Title"/>
    <w:basedOn w:val="Normal"/>
    <w:next w:val="Normal"/>
    <w:link w:val="TitleChar"/>
    <w:uiPriority w:val="10"/>
    <w:qFormat/>
    <w:rsid w:val="00D8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CA9"/>
    <w:pPr>
      <w:spacing w:before="160"/>
      <w:jc w:val="center"/>
    </w:pPr>
    <w:rPr>
      <w:i/>
      <w:iCs/>
      <w:color w:val="404040" w:themeColor="text1" w:themeTint="BF"/>
    </w:rPr>
  </w:style>
  <w:style w:type="character" w:customStyle="1" w:styleId="QuoteChar">
    <w:name w:val="Quote Char"/>
    <w:basedOn w:val="DefaultParagraphFont"/>
    <w:link w:val="Quote"/>
    <w:uiPriority w:val="29"/>
    <w:rsid w:val="00D87CA9"/>
    <w:rPr>
      <w:i/>
      <w:iCs/>
      <w:color w:val="404040" w:themeColor="text1" w:themeTint="BF"/>
    </w:rPr>
  </w:style>
  <w:style w:type="paragraph" w:styleId="ListParagraph">
    <w:name w:val="List Paragraph"/>
    <w:basedOn w:val="Normal"/>
    <w:uiPriority w:val="34"/>
    <w:qFormat/>
    <w:rsid w:val="00D87CA9"/>
    <w:pPr>
      <w:ind w:left="720"/>
      <w:contextualSpacing/>
    </w:pPr>
  </w:style>
  <w:style w:type="character" w:styleId="IntenseEmphasis">
    <w:name w:val="Intense Emphasis"/>
    <w:basedOn w:val="DefaultParagraphFont"/>
    <w:uiPriority w:val="21"/>
    <w:qFormat/>
    <w:rsid w:val="00D87CA9"/>
    <w:rPr>
      <w:i/>
      <w:iCs/>
      <w:color w:val="0F4761" w:themeColor="accent1" w:themeShade="BF"/>
    </w:rPr>
  </w:style>
  <w:style w:type="paragraph" w:styleId="IntenseQuote">
    <w:name w:val="Intense Quote"/>
    <w:basedOn w:val="Normal"/>
    <w:next w:val="Normal"/>
    <w:link w:val="IntenseQuoteChar"/>
    <w:uiPriority w:val="30"/>
    <w:qFormat/>
    <w:rsid w:val="00D87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CA9"/>
    <w:rPr>
      <w:i/>
      <w:iCs/>
      <w:color w:val="0F4761" w:themeColor="accent1" w:themeShade="BF"/>
    </w:rPr>
  </w:style>
  <w:style w:type="character" w:styleId="IntenseReference">
    <w:name w:val="Intense Reference"/>
    <w:basedOn w:val="DefaultParagraphFont"/>
    <w:uiPriority w:val="32"/>
    <w:qFormat/>
    <w:rsid w:val="00D87CA9"/>
    <w:rPr>
      <w:b/>
      <w:bCs/>
      <w:smallCaps/>
      <w:color w:val="0F4761" w:themeColor="accent1" w:themeShade="BF"/>
      <w:spacing w:val="5"/>
    </w:rPr>
  </w:style>
  <w:style w:type="paragraph" w:styleId="Header">
    <w:name w:val="header"/>
    <w:basedOn w:val="Normal"/>
    <w:link w:val="HeaderChar"/>
    <w:uiPriority w:val="99"/>
    <w:unhideWhenUsed/>
    <w:rsid w:val="00D87C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CA9"/>
  </w:style>
  <w:style w:type="paragraph" w:styleId="Footer">
    <w:name w:val="footer"/>
    <w:basedOn w:val="Normal"/>
    <w:link w:val="FooterChar"/>
    <w:uiPriority w:val="99"/>
    <w:unhideWhenUsed/>
    <w:rsid w:val="00D87C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CA9"/>
  </w:style>
  <w:style w:type="table" w:styleId="TableGrid">
    <w:name w:val="Table Grid"/>
    <w:basedOn w:val="TableNormal"/>
    <w:uiPriority w:val="39"/>
    <w:rsid w:val="00453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Soharab Hossain</dc:creator>
  <cp:keywords/>
  <dc:description/>
  <cp:lastModifiedBy>Soharab Hossain</cp:lastModifiedBy>
  <cp:revision>7</cp:revision>
  <dcterms:created xsi:type="dcterms:W3CDTF">2026-09-20T12:48:00Z</dcterms:created>
  <dcterms:modified xsi:type="dcterms:W3CDTF">2026-09-20T13:44:00Z</dcterms:modified>
</cp:coreProperties>
</file>