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815E" w14:textId="46600E85" w:rsidR="00A90CE4" w:rsidRDefault="00D00164" w:rsidP="00D00164">
      <w:pPr>
        <w:pStyle w:val="a3"/>
        <w:keepNext/>
        <w:spacing w:before="240" w:after="160"/>
        <w:rPr>
          <w:rFonts w:ascii="Times New Roman" w:eastAsia="黑体" w:hAnsi="Times New Roman"/>
          <w:b/>
          <w:noProof/>
          <w:color w:val="000000"/>
          <w:sz w:val="44"/>
        </w:rPr>
      </w:pPr>
      <w:r>
        <w:rPr>
          <w:rFonts w:ascii="Times New Roman" w:eastAsia="黑体" w:hAnsi="Times New Roman" w:hint="eastAsia"/>
          <w:b/>
          <w:noProof/>
          <w:color w:val="000000"/>
          <w:sz w:val="44"/>
        </w:rPr>
        <w:t>单光子成像技术研究进展综述</w:t>
      </w:r>
    </w:p>
    <w:p w14:paraId="25E02397" w14:textId="22C22B54" w:rsidR="00D00164" w:rsidRDefault="00D00164" w:rsidP="00D00164">
      <w:pPr>
        <w:pStyle w:val="1"/>
        <w:spacing w:before="280" w:after="120"/>
        <w:jc w:val="left"/>
        <w:rPr>
          <w:rFonts w:ascii="Times New Roman" w:eastAsia="黑体" w:hAnsi="Times New Roman"/>
          <w:b/>
          <w:color w:val="000000"/>
          <w:sz w:val="30"/>
        </w:rPr>
      </w:pPr>
      <w:r>
        <w:rPr>
          <w:rFonts w:ascii="Times New Roman" w:eastAsia="黑体" w:hAnsi="Times New Roman" w:hint="eastAsia"/>
          <w:b/>
          <w:color w:val="000000"/>
          <w:sz w:val="30"/>
        </w:rPr>
        <w:t>阅读总结</w:t>
      </w:r>
    </w:p>
    <w:p w14:paraId="6F6AD2EC" w14:textId="702AA2D7" w:rsidR="00D00164" w:rsidRDefault="00D00164" w:rsidP="00D00164">
      <w:pPr>
        <w:pStyle w:val="2"/>
        <w:spacing w:before="200"/>
        <w:jc w:val="left"/>
        <w:rPr>
          <w:rFonts w:ascii="Times New Roman" w:eastAsia="黑体" w:hAnsi="Times New Roman"/>
          <w:b/>
          <w:color w:val="000000"/>
          <w:sz w:val="25"/>
        </w:rPr>
      </w:pPr>
      <w:r>
        <w:rPr>
          <w:rFonts w:ascii="Times New Roman" w:eastAsia="黑体" w:hAnsi="Times New Roman" w:hint="eastAsia"/>
          <w:b/>
          <w:color w:val="000000"/>
          <w:sz w:val="25"/>
        </w:rPr>
        <w:t>一、这篇文章讲了什么</w:t>
      </w:r>
    </w:p>
    <w:p w14:paraId="16AD57B2" w14:textId="5181976F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1.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基本原理。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单光子成像是一种基于飞行时间（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Time of Flight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TOF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）的主动三维成像技术。系统发出激光脉冲，目标反射回来的光子由单光子雪崩二极管（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Single Photon Avalanche Diode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SPAD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）探测，时间相关单光子计数（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Time-Correlated Single Photon Counting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TCSPC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）系统记录光子到达时间，再根据发射和返回的时间差估计目标距离。这里的“像素”首先是一个横向空间采样位置或观察方向，而不是已经确定的三维点。系统会统计这个位置在一段时间内收到的光子，形成时间直方图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H(x,y,t)</m:t>
        </m:r>
      </m:oMath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；直方图中的峰值通常对应某个目标表面的深度，同一方向上存在多个表面时可能出现多个峰。因此，单光子成像不是“一个光子直接形成一幅图像”，而是在光子很少的情况下，结合时间信息、空间位置和统计规律，恢复目标的深度、反射率和结构。</w:t>
      </w:r>
    </w:p>
    <w:p w14:paraId="1ACAC5FA" w14:textId="1509AB50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2.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单点扫描与远距离成像。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单点扫描系统把激光能量集中到一个位置，再通过机械扫描或振镜改变照射位置，适合远距离和低回波场景，因为有限的激光能量能够集中利用。文章按照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2014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年首光子成像、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2017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年约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10 km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、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2019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年约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45 km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2021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年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201.5 km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的顺序，展示了远距离能力的提升。距离增加后，返回光子会明显减少，所以系统需要同时优化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1550 nm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激光、望远镜口径和透过率、窄视场、共焦光路、亚像素扫描、门控和探测器性能。门控是在预计回波到达的时间窗口内开启探测，低温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</w:t>
      </w:r>
      <w:proofErr w:type="spellStart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InGaAs</w:t>
      </w:r>
      <w:proofErr w:type="spellEnd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/</w:t>
      </w:r>
      <w:proofErr w:type="spellStart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InP</w:t>
      </w:r>
      <w:proofErr w:type="spellEnd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SPAD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或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NFAD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则用于降低暗计数。文章中“平均每像素少于一个光子”是统计平均值，不是每个像素都能单独收到一个完整光子，最终图像还需要利用相邻像素的相关性和算法先验来恢复。</w:t>
      </w:r>
    </w:p>
    <w:p w14:paraId="5CBBD406" w14:textId="2B9CA37F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3.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水下单光子成像。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水下成像的主要困难是水体吸收和散射。水中颗粒会把激光向各个方向散射，其中返回接收器方向的光称为背向散射，它会形成靠近探测器的强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lastRenderedPageBreak/>
        <w:t>背景。强背向散射可能先触发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SPAD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使探测器进入死区，真正的目标回波到达时反而无法及时响应，所以水下并不是激光脉冲能量越大、目标距离越近就一定越容易检测。文章介绍的时间门控、窄视场和偏振方法分别从时间、空间方向和偏振状态上减少干扰：门控排除不需要的早期散射光，窄视场减少非目标方向的入射光，偏振方法抑制水面或界面的强反射。相关研究还通过测量不同水体的透射和衰减特性，分析水质、波长和成像距离之间的关系。</w:t>
      </w:r>
    </w:p>
    <w:p w14:paraId="2F608D6D" w14:textId="638989E1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4.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非视距成像。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非视距成像（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Non-Line-of-Sight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NLOS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）用于探测被墙角、障碍物遮挡的目标。系统不是直接照射隐藏目标，而是先把光投射到墙面或地面等可见中介面，再利用中介面与隐藏目标之间的间接光路完成探测。根据光子从发射点出发、经过隐藏目标并返回接收点的总飞行时间，可以构造以发射点和接收点为焦点的椭球约束；改变照射点和接收点后，多个椭球的共同约束就能用于重建隐藏目标的位置和形状。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NLOS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的难点是光子经过多次反射后信号非常微弱，并且不同传播路径可能发生混叠。文章介绍了从实验室绕角成像，到远距离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NLOS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、首光子事件标记和光场层析等方法，体现了单光子成像对复杂光路的适应能力。</w:t>
      </w:r>
    </w:p>
    <w:p w14:paraId="4F7B3D7E" w14:textId="406259E9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5.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多像素单光子成像硬件。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单点扫描需要逐点测量，速度和系统集成度有限，因此研究者发展了二维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SPAD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阵列，使多个空间位置能够同时采集光子。多像素系统的难点不只是增加探测器数量，还要为每个像素或一组像素完成时间测量、光子计数、数据存储和读出。如果每个像素都配置完整的时间数字转换器（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Time-to-Digital Converter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，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TDC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），会占用较大芯片面积并增加功耗，还可能降低光敏区域所占比例，也就是填充因子下降。文章介绍了共享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TDC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、数字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</w:t>
      </w:r>
      <w:proofErr w:type="spellStart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SiPM</w:t>
      </w:r>
      <w:proofErr w:type="spellEnd"/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、片上直方图、部分直方图和事件驱动读出等方案。它们通过共享电路、只保存有效时间段或只在检测到光子时启动计时，减少面积、存储和功耗，但同时也需要在空间分辨率、时间分辨率、探测效率和读出速度之间进行权衡。</w:t>
      </w:r>
    </w:p>
    <w:p w14:paraId="23E5CB8E" w14:textId="6E01481B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bCs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6.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单光子成像算法。</w:t>
      </w:r>
      <w:r w:rsidRPr="00C85CA2">
        <w:rPr>
          <w:rFonts w:ascii="Times New Roman" w:eastAsia="宋体" w:hAnsi="Times New Roman"/>
          <w:bCs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文章将算法分为传统算法和深度学习算法。传统算法主要针对三类问题：稀疏回波，即每个像素的有效光子很少；强噪声，即背景光和暗计数淹没真实回波；多峰信号，即同一空间位置对应多个不同深度。常用方法包括贝叶斯建模、马尔可夫链蒙特卡罗、总变分、小波稀疏、互相关和峰形拟合等，它们通常会明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lastRenderedPageBreak/>
        <w:t>确利用泊松统计、空间连续性和目标稀疏性。深度学习算法则从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3D CNN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发展到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 RGB-SPAD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融合、非局部网络、物理约束网络、注意力机制、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 xml:space="preserve">Transformer </w:t>
      </w:r>
      <w:r w:rsidRPr="00C85CA2">
        <w:rPr>
          <w:rFonts w:ascii="Times New Roman" w:eastAsia="宋体" w:hAnsi="Times New Roman" w:hint="eastAsia"/>
          <w:bCs/>
          <w:color w:val="000000"/>
          <w:sz w:val="24"/>
          <w:szCs w:val="24"/>
        </w:rPr>
        <w:t>和多阶段恢复网络。它们能够从训练数据中学习光子直方图、空间结构和深度之间的关系，在极少光子和低信噪比条件下获得较好的重建结果，但性能也会受到训练数据质量和场景差异的影响。</w:t>
      </w:r>
    </w:p>
    <w:p w14:paraId="7D16F81D" w14:textId="75395FE0" w:rsidR="00D00164" w:rsidRDefault="00D00164" w:rsidP="00D00164">
      <w:pPr>
        <w:pStyle w:val="2"/>
        <w:spacing w:before="200"/>
        <w:jc w:val="left"/>
        <w:rPr>
          <w:rFonts w:ascii="Times New Roman" w:eastAsia="黑体" w:hAnsi="Times New Roman"/>
          <w:b/>
          <w:color w:val="000000"/>
          <w:sz w:val="25"/>
        </w:rPr>
      </w:pPr>
      <w:r>
        <w:rPr>
          <w:rFonts w:ascii="Times New Roman" w:eastAsia="黑体" w:hAnsi="Times New Roman" w:hint="eastAsia"/>
          <w:b/>
          <w:color w:val="000000"/>
          <w:sz w:val="25"/>
        </w:rPr>
        <w:t>二、这篇文章存在的问题</w:t>
      </w:r>
    </w:p>
    <w:p w14:paraId="2A4F48B0" w14:textId="40372445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作为初步阅读，我认为最明显的有两点。第一，文章列举了很多远距离、水下和算法实验，但不同实验使用的激光功率、望远镜口径、积分时间、平均光子数、噪声水平和评价指标并不相同。因此，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10 km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、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 xml:space="preserve">45 km 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和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 xml:space="preserve"> 201.5 km 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这些结果不能简单理解为在同一条件下的技术排名，更准确的说法应是“不同研究在各自实验条件下取得了相应结果”。第二，文章介绍的深度学习方法效果很好，但对训练数据和真实应用之间的差异讲得相对少。网络在训练数据类似的场景中可能表现优秀，换到不同背景、目标材质、距离或探测器后，效果是否仍然稳定，还需要更多真实数据和跨场景实验验证。</w:t>
      </w:r>
    </w:p>
    <w:p w14:paraId="626A1521" w14:textId="1AB9876E" w:rsidR="00D00164" w:rsidRDefault="00D00164" w:rsidP="00D00164">
      <w:pPr>
        <w:pStyle w:val="2"/>
        <w:spacing w:before="200"/>
        <w:jc w:val="left"/>
        <w:rPr>
          <w:rFonts w:ascii="Times New Roman" w:eastAsia="黑体" w:hAnsi="Times New Roman"/>
          <w:b/>
          <w:color w:val="000000"/>
          <w:sz w:val="25"/>
        </w:rPr>
      </w:pPr>
      <w:r>
        <w:rPr>
          <w:rFonts w:ascii="Times New Roman" w:eastAsia="黑体" w:hAnsi="Times New Roman" w:hint="eastAsia"/>
          <w:b/>
          <w:color w:val="000000"/>
          <w:sz w:val="25"/>
        </w:rPr>
        <w:t>三、我的思考</w:t>
      </w:r>
    </w:p>
    <w:p w14:paraId="78945A82" w14:textId="2A0B0CBE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我认为，单光子成像的关键不是简单地获得更多光子，而是在极少光子中判断哪些事件可信。系统性能取决于光学收集、探测效率、暗计数、时间抖动、视场、门控、数据读出和算法先验的综合效果。我也重新理解了像素与三维点的关系：像素是横向采样位置，时间直方图提供深度证据，同一像素可能对应一个表面、多个表面，或因光子不足而无法确定深度，所以单光子三维成像是从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color w:val="000000"/>
            <w:sz w:val="24"/>
            <w:szCs w:val="24"/>
          </w:rPr>
          <m:t>H(x,y,t)</m:t>
        </m:r>
      </m:oMath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 xml:space="preserve"> 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到深度和反射率的逆问题，而不是给二维照片简单增加一层深度。算法可结合表面连续性、稀疏性、峰形、非局部相似性和物理噪声模型等先验；先验合理时可以提高稳定性，先验错误时则可能造成过度平滑或虚假结构。</w:t>
      </w:r>
    </w:p>
    <w:p w14:paraId="38C2D305" w14:textId="25263A70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硬件和算法也应协同设计，因为门控、非线性时间采样、片上直方图和事件驱动读出会改变输入数据的统计结构，训练时应考虑真实探测器的死区、余辉、暗计数和</w:t>
      </w: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lastRenderedPageBreak/>
        <w:t>时间抖动。</w:t>
      </w:r>
    </w:p>
    <w:p w14:paraId="031D03DC" w14:textId="0B29BE0E" w:rsidR="00D00164" w:rsidRPr="00C85CA2" w:rsidRDefault="00D00164" w:rsidP="00D00164">
      <w:pPr>
        <w:spacing w:after="120" w:line="360" w:lineRule="auto"/>
        <w:ind w:firstLine="440"/>
        <w:rPr>
          <w:rFonts w:ascii="Times New Roman" w:eastAsia="宋体" w:hAnsi="Times New Roman"/>
          <w:color w:val="000000"/>
          <w:sz w:val="24"/>
          <w:szCs w:val="24"/>
        </w:rPr>
      </w:pPr>
      <w:r w:rsidRPr="00C85CA2">
        <w:rPr>
          <w:rFonts w:ascii="Times New Roman" w:eastAsia="宋体" w:hAnsi="Times New Roman" w:hint="eastAsia"/>
          <w:color w:val="000000"/>
          <w:sz w:val="24"/>
          <w:szCs w:val="24"/>
        </w:rPr>
        <w:t>总的来说，这篇综述让我认识到，单光子成像不是单独的探测器问题，而是光学系统、探测器、时间测量、统计模型和学习算法共同构成的系统问题。</w:t>
      </w:r>
    </w:p>
    <w:sectPr w:rsidR="00D00164" w:rsidRPr="00C85CA2" w:rsidSect="00D001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680" w:bottom="1440" w:left="1680" w:header="600" w:footer="60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FC5A" w14:textId="77777777" w:rsidR="00ED70F6" w:rsidRDefault="00ED70F6" w:rsidP="00D00164">
      <w:pPr>
        <w:rPr>
          <w:rFonts w:hint="eastAsia"/>
        </w:rPr>
      </w:pPr>
      <w:r>
        <w:separator/>
      </w:r>
    </w:p>
  </w:endnote>
  <w:endnote w:type="continuationSeparator" w:id="0">
    <w:p w14:paraId="4D91788F" w14:textId="77777777" w:rsidR="00ED70F6" w:rsidRDefault="00ED70F6" w:rsidP="00D001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EF0E" w14:textId="77777777" w:rsidR="00D00164" w:rsidRDefault="00D0016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2B2B" w14:textId="453C0727" w:rsidR="00D00164" w:rsidRPr="00D00164" w:rsidRDefault="00D00164" w:rsidP="00D00164">
    <w:pPr>
      <w:pStyle w:val="af0"/>
      <w:jc w:val="center"/>
      <w:rPr>
        <w:rFonts w:ascii="Times New Roman" w:eastAsia="宋体" w:hAnsi="Times New Roman"/>
        <w:color w:val="000000"/>
      </w:rPr>
    </w:pPr>
    <w:r w:rsidRPr="00D00164">
      <w:rPr>
        <w:rFonts w:ascii="Times New Roman" w:eastAsia="宋体" w:hAnsi="Times New Roman" w:hint="eastAsia"/>
        <w:color w:val="000000"/>
      </w:rPr>
      <w:t>第</w:t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fldChar w:fldCharType="begin"/>
    </w:r>
    <w:r w:rsidRPr="00D00164">
      <w:rPr>
        <w:rFonts w:ascii="Times New Roman" w:eastAsia="宋体" w:hAnsi="Times New Roman" w:hint="eastAsia"/>
        <w:color w:val="000000"/>
      </w:rPr>
      <w:instrText xml:space="preserve"> PAGE  </w:instrText>
    </w:r>
    <w:r w:rsidRPr="00D00164">
      <w:rPr>
        <w:rFonts w:ascii="Times New Roman" w:eastAsia="宋体" w:hAnsi="Times New Roman" w:hint="eastAsia"/>
        <w:color w:val="000000"/>
      </w:rPr>
      <w:fldChar w:fldCharType="separate"/>
    </w:r>
    <w:r w:rsidRPr="00D00164">
      <w:rPr>
        <w:rFonts w:ascii="Times New Roman" w:eastAsia="宋体" w:hAnsi="Times New Roman" w:hint="eastAsia"/>
        <w:noProof/>
        <w:color w:val="000000"/>
      </w:rPr>
      <w:t>1</w:t>
    </w:r>
    <w:r w:rsidRPr="00D00164">
      <w:rPr>
        <w:rFonts w:ascii="Times New Roman" w:eastAsia="宋体" w:hAnsi="Times New Roman" w:hint="eastAsia"/>
        <w:color w:val="000000"/>
      </w:rPr>
      <w:fldChar w:fldCharType="end"/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5AAB" w14:textId="4239566A" w:rsidR="00D00164" w:rsidRPr="00D00164" w:rsidRDefault="00D00164" w:rsidP="00D00164">
    <w:pPr>
      <w:pStyle w:val="af0"/>
      <w:jc w:val="center"/>
      <w:rPr>
        <w:rFonts w:ascii="Times New Roman" w:eastAsia="宋体" w:hAnsi="Times New Roman"/>
        <w:color w:val="000000"/>
      </w:rPr>
    </w:pPr>
    <w:r w:rsidRPr="00D00164">
      <w:rPr>
        <w:rFonts w:ascii="Times New Roman" w:eastAsia="宋体" w:hAnsi="Times New Roman" w:hint="eastAsia"/>
        <w:color w:val="000000"/>
      </w:rPr>
      <w:t>第</w:t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fldChar w:fldCharType="begin"/>
    </w:r>
    <w:r w:rsidRPr="00D00164">
      <w:rPr>
        <w:rFonts w:ascii="Times New Roman" w:eastAsia="宋体" w:hAnsi="Times New Roman" w:hint="eastAsia"/>
        <w:color w:val="000000"/>
      </w:rPr>
      <w:instrText xml:space="preserve"> PAGE  </w:instrText>
    </w:r>
    <w:r w:rsidRPr="00D00164">
      <w:rPr>
        <w:rFonts w:ascii="Times New Roman" w:eastAsia="宋体" w:hAnsi="Times New Roman" w:hint="eastAsia"/>
        <w:color w:val="000000"/>
      </w:rPr>
      <w:fldChar w:fldCharType="separate"/>
    </w:r>
    <w:r w:rsidRPr="00D00164">
      <w:rPr>
        <w:rFonts w:ascii="Times New Roman" w:eastAsia="宋体" w:hAnsi="Times New Roman" w:hint="eastAsia"/>
        <w:noProof/>
        <w:color w:val="000000"/>
      </w:rPr>
      <w:t>1</w:t>
    </w:r>
    <w:r w:rsidRPr="00D00164">
      <w:rPr>
        <w:rFonts w:ascii="Times New Roman" w:eastAsia="宋体" w:hAnsi="Times New Roman" w:hint="eastAsia"/>
        <w:color w:val="000000"/>
      </w:rPr>
      <w:fldChar w:fldCharType="end"/>
    </w:r>
    <w:r w:rsidRPr="00D00164">
      <w:rPr>
        <w:rFonts w:ascii="Times New Roman" w:eastAsia="宋体" w:hAnsi="Times New Roman" w:hint="eastAsia"/>
        <w:color w:val="000000"/>
      </w:rPr>
      <w:t xml:space="preserve"> </w:t>
    </w:r>
    <w:r w:rsidRPr="00D00164">
      <w:rPr>
        <w:rFonts w:ascii="Times New Roman" w:eastAsia="宋体" w:hAnsi="Times New Roman" w:hint="eastAsia"/>
        <w:color w:val="00000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79DA" w14:textId="77777777" w:rsidR="00ED70F6" w:rsidRDefault="00ED70F6" w:rsidP="00D00164">
      <w:pPr>
        <w:rPr>
          <w:rFonts w:hint="eastAsia"/>
        </w:rPr>
      </w:pPr>
      <w:r>
        <w:separator/>
      </w:r>
    </w:p>
  </w:footnote>
  <w:footnote w:type="continuationSeparator" w:id="0">
    <w:p w14:paraId="5AB637B2" w14:textId="77777777" w:rsidR="00ED70F6" w:rsidRDefault="00ED70F6" w:rsidP="00D001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F6DC" w14:textId="77777777" w:rsidR="00D00164" w:rsidRDefault="00D0016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ACA1" w14:textId="69D8E4B4" w:rsidR="00D00164" w:rsidRPr="00D00164" w:rsidRDefault="00D00164" w:rsidP="00D00164">
    <w:pPr>
      <w:pStyle w:val="ae"/>
      <w:jc w:val="right"/>
      <w:rPr>
        <w:rFonts w:ascii="Times New Roman" w:eastAsia="宋体" w:hAnsi="Times New Roman"/>
        <w:color w:val="000000"/>
        <w:sz w:val="17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9A55" w14:textId="77777777" w:rsidR="00D00164" w:rsidRDefault="00D00164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4"/>
    <w:rsid w:val="000B33E1"/>
    <w:rsid w:val="00261253"/>
    <w:rsid w:val="0057310B"/>
    <w:rsid w:val="00610447"/>
    <w:rsid w:val="00700FCB"/>
    <w:rsid w:val="00A90CE4"/>
    <w:rsid w:val="00C85CA2"/>
    <w:rsid w:val="00CF0D51"/>
    <w:rsid w:val="00D00164"/>
    <w:rsid w:val="00D2036C"/>
    <w:rsid w:val="00E02641"/>
    <w:rsid w:val="00ED70F6"/>
    <w:rsid w:val="00F5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531D3"/>
  <w15:chartTrackingRefBased/>
  <w15:docId w15:val="{2826B33D-6662-4F05-A1E7-B12F774C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1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1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1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1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0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1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1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1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1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0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1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1292</Words>
  <Characters>1435</Characters>
  <Application>Microsoft Office Word</Application>
  <DocSecurity>0</DocSecurity>
  <Lines>38</Lines>
  <Paragraphs>17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单光子成像技术研究进展综述</dc:title>
  <dc:subject>阅读总结</dc:subject>
  <dc:creator>Warfarin Lazy</dc:creator>
  <cp:keywords>single-photon imaging; computational imaging; deep learning; three-dimensional reconstruction</cp:keywords>
  <dc:description>Source: 计测技术, 2025, 45(3), 7-27 | DOI: 10.11823/j.issn.1674-5795.2025.03.01 | Zotero item key: 48EPIM6D | BibTeX key: __2025</dc:description>
  <cp:lastModifiedBy>Warfarin Lazy</cp:lastModifiedBy>
  <cp:revision>3</cp:revision>
  <dcterms:created xsi:type="dcterms:W3CDTF">2026-10-20T07:43:00Z</dcterms:created>
  <dcterms:modified xsi:type="dcterms:W3CDTF">2026-10-20T07:51:00Z</dcterms:modified>
</cp:coreProperties>
</file>