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84553">
      <w:pPr>
        <w:pStyle w:val="31"/>
        <w:jc w:val="center"/>
      </w:pPr>
      <w:r>
        <w:rPr>
          <w:rFonts w:ascii="黑体" w:hAnsi="黑体" w:eastAsia="黑体"/>
          <w:b/>
          <w:color w:val="000000"/>
          <w:sz w:val="36"/>
        </w:rPr>
        <w:t>考卷</w:t>
      </w:r>
      <w:r>
        <w:rPr>
          <w:rFonts w:hint="eastAsia" w:ascii="黑体" w:hAnsi="黑体" w:eastAsia="黑体"/>
          <w:b/>
          <w:color w:val="000000"/>
          <w:sz w:val="36"/>
          <w:lang w:val="en-US" w:eastAsia="zh-CN"/>
        </w:rPr>
        <w:t>2.0</w:t>
      </w:r>
      <w:r>
        <w:rPr>
          <w:rFonts w:ascii="黑体" w:hAnsi="黑体" w:eastAsia="黑体"/>
          <w:b/>
          <w:color w:val="000000"/>
          <w:sz w:val="36"/>
        </w:rPr>
        <w:t>（长问法版）</w:t>
      </w:r>
    </w:p>
    <w:p w14:paraId="088F0A56"/>
    <w:p w14:paraId="294211C5">
      <w:pPr>
        <w:spacing w:before="280" w:after="60"/>
      </w:pPr>
      <w:r>
        <w:rPr>
          <w:rFonts w:ascii="黑体" w:hAnsi="黑体" w:eastAsia="黑体"/>
          <w:b/>
          <w:sz w:val="22"/>
        </w:rPr>
        <w:t>第1题</w:t>
      </w:r>
    </w:p>
    <w:p w14:paraId="0C922FFA">
      <w:pPr>
        <w:spacing w:before="60" w:after="60" w:line="360" w:lineRule="exact"/>
        <w:ind w:left="360"/>
      </w:pPr>
      <w:r>
        <w:rPr>
          <w:sz w:val="21"/>
        </w:rPr>
        <w:t>佛山某家具公司向美国客户出口一批定制沙发，货已运抵洛杉矶港口。买方发来邮件称"市场行情不好，我们不要这批货了"。作为卖方，请问：①我能否强行要求买方收货？②如果不能，我有哪些救济选择？③针对这批定制家具，最优先的救济方式是什么？</w:t>
      </w:r>
    </w:p>
    <w:p w14:paraId="0C1A1C04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Art.61；CISG Art.62；UCC §2-703</w:t>
      </w:r>
    </w:p>
    <w:p w14:paraId="30967E85">
      <w:pPr>
        <w:spacing w:before="280" w:after="60"/>
      </w:pPr>
      <w:r>
        <w:rPr>
          <w:rFonts w:ascii="黑体" w:hAnsi="黑体" w:eastAsia="黑体"/>
          <w:b/>
          <w:sz w:val="22"/>
        </w:rPr>
        <w:t>第2题</w:t>
      </w:r>
    </w:p>
    <w:p w14:paraId="721005B2">
      <w:pPr>
        <w:spacing w:before="60" w:after="60" w:line="360" w:lineRule="exact"/>
        <w:ind w:left="360"/>
      </w:pPr>
      <w:r>
        <w:rPr>
          <w:sz w:val="21"/>
        </w:rPr>
        <w:t>卖方已按FOB深圳条款向美国买方交付一批家具，买方收货后两个月仍未支付尾款。卖方拟提起诉讼追讨货款，请问：①卖方是否有权直接起诉要求买方支付全部货款？②对于逾期付款，卖方能否主张利息？③如果合同未约定利率，应按什么标准计算？</w:t>
      </w:r>
    </w:p>
    <w:p w14:paraId="6A8302DE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Art.62；CISG Art.78；UCC §2-709</w:t>
      </w:r>
    </w:p>
    <w:p w14:paraId="0733B672">
      <w:pPr>
        <w:spacing w:before="280" w:after="60"/>
      </w:pPr>
      <w:r>
        <w:rPr>
          <w:rFonts w:ascii="黑体" w:hAnsi="黑体" w:eastAsia="黑体"/>
          <w:b/>
          <w:sz w:val="22"/>
        </w:rPr>
        <w:t>第3题</w:t>
      </w:r>
    </w:p>
    <w:p w14:paraId="49235547">
      <w:pPr>
        <w:spacing w:before="60" w:after="60" w:line="360" w:lineRule="exact"/>
        <w:ind w:left="360"/>
      </w:pPr>
      <w:r>
        <w:rPr>
          <w:sz w:val="21"/>
        </w:rPr>
        <w:t>一批家具正在海上运输途中，卖方突然得知买方公司即将申请破产保护。卖方担心货物到达目的港后无法收回货款，希望阻止承运人向买方交货。请问：①卖方是否有权要求承运人停止交货？②具体应如何操作？</w:t>
      </w:r>
    </w:p>
    <w:p w14:paraId="0EBE44AA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Art.71；UCC §2-705</w:t>
      </w:r>
    </w:p>
    <w:p w14:paraId="7B04438E">
      <w:pPr>
        <w:spacing w:before="280" w:after="60"/>
      </w:pPr>
      <w:r>
        <w:rPr>
          <w:rFonts w:ascii="黑体" w:hAnsi="黑体" w:eastAsia="黑体"/>
          <w:b/>
          <w:sz w:val="22"/>
        </w:rPr>
        <w:t>第4题</w:t>
      </w:r>
    </w:p>
    <w:p w14:paraId="519B4A02">
      <w:pPr>
        <w:spacing w:before="60" w:after="60" w:line="360" w:lineRule="exact"/>
        <w:ind w:left="360"/>
      </w:pPr>
      <w:r>
        <w:rPr>
          <w:sz w:val="21"/>
        </w:rPr>
        <w:t>买方上一批货款尚有50万美元未结清，卖方准备发运下一批货物。卖方担心继续发货会扩大损失，拟暂停后续批次的发运。请问：①卖方是否有权扣留下一批货物不发？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如果上一批货物已经交给承运人，卖方还能扣货吗？</w:t>
      </w:r>
    </w:p>
    <w:p w14:paraId="503BC852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Art.58；UCC §2-703；中国《民法典》第447条</w:t>
      </w:r>
    </w:p>
    <w:p w14:paraId="06847B29">
      <w:pPr>
        <w:spacing w:before="280" w:after="60"/>
      </w:pPr>
      <w:r>
        <w:rPr>
          <w:rFonts w:ascii="黑体" w:hAnsi="黑体" w:eastAsia="黑体"/>
          <w:b/>
          <w:sz w:val="22"/>
        </w:rPr>
        <w:t>第5题</w:t>
      </w:r>
    </w:p>
    <w:p w14:paraId="0F5141E0">
      <w:pPr>
        <w:spacing w:before="60" w:after="60" w:line="360" w:lineRule="exact"/>
        <w:ind w:left="360"/>
      </w:pPr>
      <w:r>
        <w:rPr>
          <w:sz w:val="21"/>
        </w:rPr>
        <w:t>买方无正当理由拒收一批家具后，卖方以低于合同价15%的价格将货物转售给第三方买家。买方事后质疑转售价格过低，拒绝赔偿差价。请问：①卖方是否有权向买方索赔原合同价与转售价之间的差额？②转售行为需要满足什么条件才能被认定为"合理"？</w:t>
      </w:r>
    </w:p>
    <w:p w14:paraId="3A2D471C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Art.75；UCC §2-706</w:t>
      </w:r>
    </w:p>
    <w:p w14:paraId="478B856E">
      <w:pPr>
        <w:spacing w:before="280" w:after="60"/>
      </w:pPr>
      <w:r>
        <w:rPr>
          <w:rFonts w:ascii="黑体" w:hAnsi="黑体" w:eastAsia="黑体"/>
          <w:b/>
          <w:sz w:val="22"/>
        </w:rPr>
        <w:t>第6题</w:t>
      </w:r>
    </w:p>
    <w:p w14:paraId="52B1CDBE">
      <w:pPr>
        <w:spacing w:before="60" w:after="60" w:line="360" w:lineRule="exact"/>
        <w:ind w:left="360"/>
      </w:pPr>
      <w:r>
        <w:rPr>
          <w:sz w:val="21"/>
        </w:rPr>
        <w:t>为了履行与美国买方的家具订单，卖方专门采购了一批进口红木原材料。买方突然毁约，导致该批红木积压在仓库中，产生了仓储费和资金占用损失。请问：①这些备料损失能否向买方索赔？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卖方应当准备哪些证据来支持索赔？</w:t>
      </w:r>
    </w:p>
    <w:p w14:paraId="250AA0BF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§2-710；CISG Art.74</w:t>
      </w:r>
    </w:p>
    <w:p w14:paraId="07B245EA">
      <w:pPr>
        <w:spacing w:before="280" w:after="60"/>
      </w:pPr>
      <w:r>
        <w:rPr>
          <w:rFonts w:ascii="黑体" w:hAnsi="黑体" w:eastAsia="黑体"/>
          <w:b/>
          <w:sz w:val="22"/>
        </w:rPr>
        <w:t>第7题</w:t>
      </w:r>
    </w:p>
    <w:p w14:paraId="7128F577">
      <w:pPr>
        <w:spacing w:before="60" w:after="60" w:line="360" w:lineRule="exact"/>
        <w:ind w:left="360"/>
      </w:pPr>
      <w:r>
        <w:rPr>
          <w:sz w:val="21"/>
        </w:rPr>
        <w:t>买方毁约导致卖方整单交易利润落空，卖方主张索赔预期利润损失。买方抗辩称"利润具有不确定性，无法计算"。请问：①卖方是否有权索赔利润损失？②如何计算"合理"的利润损失金额？</w:t>
      </w:r>
    </w:p>
    <w:p w14:paraId="3102E156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Art.74；UCC §2-708(2)</w:t>
      </w:r>
    </w:p>
    <w:p w14:paraId="7F9064ED">
      <w:pPr>
        <w:spacing w:before="280" w:after="60"/>
      </w:pPr>
      <w:r>
        <w:rPr>
          <w:rFonts w:ascii="黑体" w:hAnsi="黑体" w:eastAsia="黑体"/>
          <w:b/>
          <w:sz w:val="22"/>
        </w:rPr>
        <w:t>第8题</w:t>
      </w:r>
    </w:p>
    <w:p w14:paraId="19BCEB2E">
      <w:pPr>
        <w:spacing w:before="60" w:after="60" w:line="360" w:lineRule="exact"/>
        <w:ind w:left="360"/>
      </w:pPr>
      <w:r>
        <w:rPr>
          <w:sz w:val="21"/>
        </w:rPr>
        <w:t>买卖合同中约定"任何一方违约应支付合同金额20%的违约金"。买方违约后，在诉讼中抗辩称该条款属于"惩罚性违约金"，要求美国法院调低或认定无效。请问：①美国法院如何区分"约定违约金"与"惩罚性违约金"？②20%的比例是否安全？③合同条款应如何措辞，才能降低被美国法院调低或认定无效的风险？</w:t>
      </w:r>
    </w:p>
    <w:p w14:paraId="2F9CB609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§2-718</w:t>
      </w:r>
    </w:p>
    <w:p w14:paraId="4756D569">
      <w:pPr>
        <w:spacing w:before="280" w:after="60"/>
      </w:pPr>
      <w:r>
        <w:rPr>
          <w:rFonts w:ascii="黑体" w:hAnsi="黑体" w:eastAsia="黑体"/>
          <w:b/>
          <w:sz w:val="22"/>
        </w:rPr>
        <w:t>第9题</w:t>
      </w:r>
    </w:p>
    <w:p w14:paraId="4E5DDE42">
      <w:pPr>
        <w:spacing w:before="60" w:after="60" w:line="360" w:lineRule="exact"/>
        <w:ind w:left="360"/>
      </w:pPr>
      <w:r>
        <w:rPr>
          <w:sz w:val="21"/>
        </w:rPr>
        <w:t>买方收到一批沙发后，以其中一件沙发表面有一道轻微划痕为由，拒绝接受整批货物并要求解除合同。卖方认为该划痕不影响使用，属于轻微瑕疵。请问：①买方是否有权以轻微瑕疵为由拒收全部货物？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作为卖方，应当如何应对买方的拒收？</w:t>
      </w:r>
    </w:p>
    <w:p w14:paraId="30E94A43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Art.25；CISG Art.51；UCC §2-601；UCC §2-608(1)</w:t>
      </w:r>
    </w:p>
    <w:p w14:paraId="6A825F15">
      <w:pPr>
        <w:spacing w:before="280" w:after="60"/>
      </w:pPr>
      <w:r>
        <w:rPr>
          <w:rFonts w:ascii="黑体" w:hAnsi="黑体" w:eastAsia="黑体"/>
          <w:b/>
          <w:sz w:val="22"/>
        </w:rPr>
        <w:t>第10题</w:t>
      </w:r>
    </w:p>
    <w:p w14:paraId="5602A0A7">
      <w:pPr>
        <w:spacing w:before="60" w:after="60" w:line="360" w:lineRule="exact"/>
        <w:ind w:left="360"/>
      </w:pPr>
      <w:r>
        <w:rPr>
          <w:sz w:val="21"/>
        </w:rPr>
        <w:t>卖方通过信用证方式向美国买方收取货款，银行以"单据不符"为由拒绝兑付信用证。</w:t>
      </w:r>
      <w:r>
        <w:rPr>
          <w:rFonts w:hint="eastAsia"/>
          <w:sz w:val="21"/>
          <w:lang w:val="en-US" w:eastAsia="zh-CN"/>
        </w:rPr>
        <w:t>请</w:t>
      </w:r>
      <w:r>
        <w:rPr>
          <w:sz w:val="21"/>
        </w:rPr>
        <w:t>问：①信用证被拒付后，卖方是否还能直接向买方主张付款？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为降低此类风险，合同中应当如何约定？</w:t>
      </w:r>
    </w:p>
    <w:p w14:paraId="5A9D2E4B">
      <w:pPr>
        <w:spacing w:before="80" w:after="12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UCP600第4条；CISG Art.54；UCC §2-511</w:t>
      </w:r>
    </w:p>
    <w:p w14:paraId="62C27589">
      <w:pPr>
        <w:spacing w:before="280" w:after="60"/>
      </w:pPr>
      <w:r>
        <w:rPr>
          <w:rFonts w:ascii="黑体" w:hAnsi="黑体" w:eastAsia="黑体"/>
          <w:b/>
          <w:sz w:val="22"/>
        </w:rPr>
        <w:t>第11题</w:t>
      </w:r>
    </w:p>
    <w:p w14:paraId="130D3821">
      <w:pPr>
        <w:spacing w:before="60" w:after="60" w:line="360" w:lineRule="exact"/>
        <w:ind w:left="360"/>
      </w:pPr>
      <w:r>
        <w:rPr>
          <w:sz w:val="21"/>
        </w:rPr>
        <w:t>审查一份中美货物买卖合同时，发现合同全文未出现任何与卖方救济相关的关键词。请问：</w:t>
      </w:r>
      <w:r>
        <w:rPr>
          <w:rFonts w:hint="eastAsia"/>
          <w:sz w:val="21"/>
          <w:lang w:val="en-US" w:eastAsia="zh-CN"/>
        </w:rPr>
        <w:t>①</w:t>
      </w:r>
      <w:r>
        <w:rPr>
          <w:sz w:val="21"/>
        </w:rPr>
        <w:t>虽然法定权利仍然存在，但对卖方有何实际不利影响？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应当建议补充什么条款？</w:t>
      </w:r>
    </w:p>
    <w:p w14:paraId="61EBAFB6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§2-703；CISG Art.61</w:t>
      </w:r>
    </w:p>
    <w:p w14:paraId="5177F519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19E1AA19">
      <w:pPr>
        <w:spacing w:before="280" w:after="60"/>
      </w:pPr>
      <w:r>
        <w:rPr>
          <w:rFonts w:ascii="黑体" w:hAnsi="黑体" w:eastAsia="黑体"/>
          <w:b/>
          <w:sz w:val="22"/>
        </w:rPr>
        <w:t>第12题</w:t>
      </w:r>
    </w:p>
    <w:p w14:paraId="7EA3B30E">
      <w:pPr>
        <w:spacing w:before="60" w:after="60" w:line="360" w:lineRule="exact"/>
        <w:ind w:left="360"/>
      </w:pPr>
      <w:r>
        <w:rPr>
          <w:sz w:val="21"/>
        </w:rPr>
        <w:t>审查合同时发现，合同全文未约定违约金条款，请问：①没有违约金条款时，卖方违约后只能如何索赔</w:t>
      </w:r>
      <w:r>
        <w:rPr>
          <w:rFonts w:hint="eastAsia"/>
          <w:sz w:val="21"/>
          <w:lang w:eastAsia="zh-CN"/>
        </w:rPr>
        <w:t>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建议补充的违约金条款应当如何设计？</w:t>
      </w:r>
    </w:p>
    <w:p w14:paraId="73D2FFFD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§2-718；CISG Art.74</w:t>
      </w:r>
    </w:p>
    <w:p w14:paraId="157E7FE9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03033A99">
      <w:pPr>
        <w:spacing w:before="280" w:after="60"/>
      </w:pPr>
      <w:r>
        <w:rPr>
          <w:rFonts w:ascii="黑体" w:hAnsi="黑体" w:eastAsia="黑体"/>
          <w:b/>
          <w:sz w:val="22"/>
        </w:rPr>
        <w:t>第13题</w:t>
      </w:r>
    </w:p>
    <w:p w14:paraId="604AC3D2">
      <w:pPr>
        <w:spacing w:before="60" w:after="60" w:line="360" w:lineRule="exact"/>
        <w:ind w:left="360"/>
      </w:pPr>
      <w:r>
        <w:rPr>
          <w:sz w:val="21"/>
        </w:rPr>
        <w:t>审查合同时发现，合同未约定检验期和异议期，也未约定具体天数。请问：买方半年后说质量不行，我能反驳吗？</w:t>
      </w:r>
    </w:p>
    <w:p w14:paraId="6898FE41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§2-602；CISG Art.38；CISG Art.39</w:t>
      </w:r>
    </w:p>
    <w:p w14:paraId="3C8B1625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0D171EB3">
      <w:pPr>
        <w:spacing w:before="280" w:after="60"/>
      </w:pPr>
      <w:r>
        <w:rPr>
          <w:rFonts w:ascii="黑体" w:hAnsi="黑体" w:eastAsia="黑体"/>
          <w:b/>
          <w:sz w:val="22"/>
        </w:rPr>
        <w:t>第14题</w:t>
      </w:r>
    </w:p>
    <w:p w14:paraId="26F2843E">
      <w:pPr>
        <w:spacing w:before="60" w:after="60" w:line="360" w:lineRule="exact"/>
        <w:ind w:left="360"/>
      </w:pPr>
      <w:r>
        <w:rPr>
          <w:sz w:val="21"/>
        </w:rPr>
        <w:t>审查合同时发现，合同未约定所有权保留条款，请问：</w:t>
      </w:r>
      <w:r>
        <w:rPr>
          <w:rFonts w:hint="eastAsia"/>
          <w:sz w:val="21"/>
          <w:lang w:val="en-US" w:eastAsia="zh-CN"/>
        </w:rPr>
        <w:t>①</w:t>
      </w:r>
      <w:r>
        <w:rPr>
          <w:sz w:val="21"/>
        </w:rPr>
        <w:t>如果合同没有约定所有权保留，货物所有权何时转移？对卖方有何风险？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建议的所有权保留条款应当如何撰写？</w:t>
      </w:r>
    </w:p>
    <w:p w14:paraId="398B76D1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中国《民法典》第641条；UCC Article 2（title retention）</w:t>
      </w:r>
    </w:p>
    <w:p w14:paraId="7727C16A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5B1B181A">
      <w:pPr>
        <w:spacing w:before="280" w:after="60"/>
      </w:pPr>
      <w:r>
        <w:rPr>
          <w:rFonts w:ascii="黑体" w:hAnsi="黑体" w:eastAsia="黑体"/>
          <w:b/>
          <w:sz w:val="22"/>
        </w:rPr>
        <w:t>第15题</w:t>
      </w:r>
    </w:p>
    <w:p w14:paraId="2DF26ADE">
      <w:pPr>
        <w:spacing w:before="60" w:after="60" w:line="360" w:lineRule="exact"/>
        <w:ind w:left="360"/>
      </w:pPr>
      <w:r>
        <w:rPr>
          <w:sz w:val="21"/>
        </w:rPr>
        <w:t>审查合同时发现，合同未约定适用法律条款，请问：①合同自动适用什么法律？对卖方是否有利？③如果买方提供的格式合同中写有"excluding the CISG"，应当如何处理？</w:t>
      </w:r>
    </w:p>
    <w:p w14:paraId="0BE731CD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Art.1；中国《法律适用法》第41条</w:t>
      </w:r>
    </w:p>
    <w:p w14:paraId="5B99373C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12BFC1FC">
      <w:pPr>
        <w:spacing w:before="280" w:after="60"/>
      </w:pPr>
      <w:r>
        <w:rPr>
          <w:rFonts w:ascii="黑体" w:hAnsi="黑体" w:eastAsia="黑体"/>
          <w:b/>
          <w:sz w:val="22"/>
        </w:rPr>
        <w:t>第16题</w:t>
      </w:r>
    </w:p>
    <w:p w14:paraId="283908A3">
      <w:pPr>
        <w:spacing w:before="60" w:after="60" w:line="360" w:lineRule="exact"/>
        <w:ind w:left="360"/>
      </w:pPr>
      <w:r>
        <w:rPr>
          <w:sz w:val="21"/>
        </w:rPr>
        <w:t>审查合同时发现，不可抗力条款仅笼统写"force majeure"或"不可抗力免责"，未列明具体情形，也未区分哪些情形属于/不属于不可抗力。请问：</w:t>
      </w:r>
      <w:r>
        <w:rPr>
          <w:rFonts w:hint="eastAsia"/>
          <w:sz w:val="21"/>
          <w:lang w:val="en-US" w:eastAsia="zh-CN"/>
        </w:rPr>
        <w:t>①</w:t>
      </w:r>
      <w:r>
        <w:rPr>
          <w:sz w:val="21"/>
        </w:rPr>
        <w:t>港口罢工、海运延误是否属于不可抗力？</w:t>
      </w:r>
      <w:r>
        <w:rPr>
          <w:rFonts w:hint="eastAsia"/>
          <w:sz w:val="21"/>
          <w:lang w:val="en-US" w:eastAsia="zh-CN"/>
        </w:rPr>
        <w:t>②</w:t>
      </w:r>
      <w:r>
        <w:rPr>
          <w:sz w:val="21"/>
        </w:rPr>
        <w:t>建议的不可抗力条款应当如何列举具体情形？</w:t>
      </w:r>
    </w:p>
    <w:p w14:paraId="055BAEDD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CISG Art.79；中国《民法典》第180条</w:t>
      </w:r>
    </w:p>
    <w:p w14:paraId="04FE1EAD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🟡 中风险</w:t>
      </w:r>
    </w:p>
    <w:p w14:paraId="76CD3FB3">
      <w:pPr>
        <w:spacing w:before="280" w:after="60"/>
      </w:pPr>
      <w:r>
        <w:rPr>
          <w:rFonts w:ascii="黑体" w:hAnsi="黑体" w:eastAsia="黑体"/>
          <w:b/>
          <w:sz w:val="22"/>
        </w:rPr>
        <w:t>第17题</w:t>
      </w:r>
    </w:p>
    <w:p w14:paraId="0DE534D8">
      <w:pPr>
        <w:spacing w:before="60" w:after="60" w:line="360" w:lineRule="exact"/>
        <w:ind w:left="360"/>
      </w:pPr>
      <w:r>
        <w:rPr>
          <w:sz w:val="21"/>
        </w:rPr>
        <w:t>两份买卖合同分别约定FOB深圳和CIF洛杉矶（Incoterms® 2020）。买方违约拒收货物时，请问：①FOB和CIF两种术语下，风险转移点是否相同？②对卖方的救济权利（转售、价金请求、停运）有什么实际影响？③CIF术语下，卖方需要特别注意什么问题？</w:t>
      </w:r>
    </w:p>
    <w:p w14:paraId="7AA33736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Incoterms® 2020（FOB/CIF规则）</w:t>
      </w:r>
    </w:p>
    <w:p w14:paraId="03AD68C0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⚪ 提示</w:t>
      </w:r>
    </w:p>
    <w:p w14:paraId="320B5F54">
      <w:pPr>
        <w:spacing w:before="280" w:after="60"/>
      </w:pPr>
      <w:r>
        <w:rPr>
          <w:rFonts w:ascii="黑体" w:hAnsi="黑体" w:eastAsia="黑体"/>
          <w:b/>
          <w:sz w:val="22"/>
        </w:rPr>
        <w:t>第18题</w:t>
      </w:r>
    </w:p>
    <w:p w14:paraId="588E8E9F">
      <w:pPr>
        <w:spacing w:before="60" w:after="60" w:line="360" w:lineRule="exact"/>
        <w:ind w:left="360"/>
      </w:pPr>
      <w:r>
        <w:rPr>
          <w:sz w:val="21"/>
        </w:rPr>
        <w:t>合同约定争议提交香港国际仲裁中心（HKIAC）仲裁，卖方胜诉后获得有利裁决，但美国买方拒绝履行裁决义务。请问：①该仲裁裁决在美国能否被强制执行？②在美国申请承认和执行仲裁裁决的具体程序是什么？</w:t>
      </w:r>
    </w:p>
    <w:p w14:paraId="585FECDF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《纽约公约》第III条、第V条；美国联邦仲裁法（FAA）第207条</w:t>
      </w:r>
    </w:p>
    <w:p w14:paraId="2CE266C0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—</w:t>
      </w:r>
    </w:p>
    <w:p w14:paraId="667BBAEA">
      <w:pPr>
        <w:spacing w:before="280" w:after="60"/>
      </w:pPr>
      <w:r>
        <w:rPr>
          <w:rFonts w:ascii="黑体" w:hAnsi="黑体" w:eastAsia="黑体"/>
          <w:b/>
          <w:sz w:val="22"/>
        </w:rPr>
        <w:t>第19题</w:t>
      </w:r>
    </w:p>
    <w:p w14:paraId="28BED4DA">
      <w:pPr>
        <w:spacing w:before="60" w:after="60" w:line="360" w:lineRule="exact"/>
        <w:ind w:left="360"/>
      </w:pPr>
      <w:r>
        <w:rPr>
          <w:sz w:val="21"/>
        </w:rPr>
        <w:t>买卖合同中约定"因本合同产生的任何争议由纽约州法院管辖"。请问：①该约定对位于中国佛山的卖方有什么风险？②如果争议已经发生，卖方能否避免前往美国应诉？③如果合同尚未签署，应当如何修改管辖条款以保护卖方利益？</w:t>
      </w:r>
    </w:p>
    <w:p w14:paraId="02AD1DBF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美国长臂管辖原则；纽约公约；中国《民事诉讼法》涉外编</w:t>
      </w:r>
    </w:p>
    <w:p w14:paraId="09F215FE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🔴 高风险</w:t>
      </w:r>
    </w:p>
    <w:p w14:paraId="274320EF">
      <w:pPr>
        <w:spacing w:before="280" w:after="60"/>
      </w:pPr>
      <w:r>
        <w:rPr>
          <w:rFonts w:ascii="黑体" w:hAnsi="黑体" w:eastAsia="黑体"/>
          <w:b/>
          <w:sz w:val="22"/>
        </w:rPr>
        <w:t>第20题</w:t>
      </w:r>
    </w:p>
    <w:p w14:paraId="20E401B8">
      <w:pPr>
        <w:spacing w:before="60" w:after="60" w:line="360" w:lineRule="exact"/>
        <w:ind w:left="360"/>
      </w:pPr>
      <w:r>
        <w:rPr>
          <w:sz w:val="21"/>
        </w:rPr>
        <w:t>买方刚刚发来邮件通知"不要这批货了"，而货物目前尚在海上运输途中。作为卖方法务人员，请列出未来</w:t>
      </w:r>
      <w:r>
        <w:rPr>
          <w:rFonts w:hint="eastAsia"/>
          <w:sz w:val="21"/>
          <w:lang w:val="en-US" w:eastAsia="zh-CN"/>
        </w:rPr>
        <w:t>三天</w:t>
      </w:r>
      <w:r>
        <w:rPr>
          <w:sz w:val="21"/>
        </w:rPr>
        <w:t>的完整行动清单，并按时间段说明每一步的法律依据和操作要点。</w:t>
      </w:r>
    </w:p>
    <w:p w14:paraId="2A73A372">
      <w:pPr>
        <w:spacing w:before="80" w:after="40"/>
        <w:ind w:left="360"/>
      </w:pPr>
      <w:r>
        <w:rPr>
          <w:b/>
          <w:color w:val="B40000"/>
          <w:sz w:val="20"/>
        </w:rPr>
        <w:t>标准答案应引用：</w:t>
      </w:r>
      <w:r>
        <w:rPr>
          <w:color w:val="B40000"/>
          <w:sz w:val="20"/>
        </w:rPr>
        <w:t>UCC §2-705；CISG Art.71；中国《民事诉讼法》第104条</w:t>
      </w:r>
    </w:p>
    <w:p w14:paraId="255EB9E2">
      <w:pPr>
        <w:spacing w:before="40" w:after="120"/>
        <w:ind w:left="360"/>
      </w:pPr>
      <w:r>
        <w:rPr>
          <w:b/>
          <w:sz w:val="20"/>
        </w:rPr>
        <w:t>风险等级：</w:t>
      </w:r>
      <w:r>
        <w:rPr>
          <w:sz w:val="20"/>
        </w:rPr>
        <w:t>—</w:t>
      </w:r>
    </w:p>
    <w:p w14:paraId="43D9A679">
      <w:r>
        <w:br w:type="page"/>
      </w:r>
    </w:p>
    <w:p w14:paraId="49453229">
      <w:pPr>
        <w:pStyle w:val="3"/>
      </w:pPr>
      <w:r>
        <w:rPr>
          <w:rFonts w:ascii="黑体" w:hAnsi="黑体" w:eastAsia="黑体"/>
          <w:b/>
          <w:color w:val="000000"/>
          <w:sz w:val="28"/>
        </w:rPr>
        <w:t>附：考卷结构速查表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8"/>
        <w:gridCol w:w="2569"/>
        <w:gridCol w:w="4000"/>
        <w:gridCol w:w="1429"/>
      </w:tblGrid>
      <w:tr w14:paraId="0CC5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A202F3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w="2592" w:type="dxa"/>
          </w:tcPr>
          <w:p w14:paraId="20A23F7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考查主题</w:t>
            </w:r>
          </w:p>
        </w:tc>
        <w:tc>
          <w:tcPr>
            <w:tcW w:w="4032" w:type="dxa"/>
          </w:tcPr>
          <w:p w14:paraId="2F26634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引用条文</w:t>
            </w:r>
          </w:p>
        </w:tc>
        <w:tc>
          <w:tcPr>
            <w:tcW w:w="1440" w:type="dxa"/>
          </w:tcPr>
          <w:p w14:paraId="7272FD2D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风险等级</w:t>
            </w:r>
          </w:p>
        </w:tc>
      </w:tr>
      <w:tr w14:paraId="558A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FE53EE6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92" w:type="dxa"/>
          </w:tcPr>
          <w:p w14:paraId="5EABCCCF">
            <w:pPr>
              <w:spacing w:after="0" w:line="240" w:lineRule="auto"/>
            </w:pPr>
            <w:r>
              <w:rPr>
                <w:sz w:val="19"/>
              </w:rPr>
              <w:t>买方拒收救济</w:t>
            </w:r>
          </w:p>
        </w:tc>
        <w:tc>
          <w:tcPr>
            <w:tcW w:w="4032" w:type="dxa"/>
          </w:tcPr>
          <w:p w14:paraId="13C2E30F">
            <w:pPr>
              <w:spacing w:after="0" w:line="240" w:lineRule="auto"/>
            </w:pPr>
            <w:r>
              <w:rPr>
                <w:sz w:val="19"/>
              </w:rPr>
              <w:t>CISG 61, 62；UCC 2-703</w:t>
            </w:r>
          </w:p>
        </w:tc>
        <w:tc>
          <w:tcPr>
            <w:tcW w:w="1440" w:type="dxa"/>
          </w:tcPr>
          <w:p w14:paraId="57A98A9A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6EA99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F9E061A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92" w:type="dxa"/>
          </w:tcPr>
          <w:p w14:paraId="427BBA59">
            <w:pPr>
              <w:spacing w:after="0" w:line="240" w:lineRule="auto"/>
            </w:pPr>
            <w:r>
              <w:rPr>
                <w:sz w:val="19"/>
              </w:rPr>
              <w:t>拖欠货款与利息</w:t>
            </w:r>
          </w:p>
        </w:tc>
        <w:tc>
          <w:tcPr>
            <w:tcW w:w="4032" w:type="dxa"/>
          </w:tcPr>
          <w:p w14:paraId="6E1F0819">
            <w:pPr>
              <w:spacing w:after="0" w:line="240" w:lineRule="auto"/>
            </w:pPr>
            <w:r>
              <w:rPr>
                <w:sz w:val="19"/>
              </w:rPr>
              <w:t>CISG 62, 78；UCC 2-709</w:t>
            </w:r>
          </w:p>
        </w:tc>
        <w:tc>
          <w:tcPr>
            <w:tcW w:w="1440" w:type="dxa"/>
          </w:tcPr>
          <w:p w14:paraId="79635591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73AA7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BE46E5E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92" w:type="dxa"/>
          </w:tcPr>
          <w:p w14:paraId="48505240">
            <w:pPr>
              <w:spacing w:after="0" w:line="240" w:lineRule="auto"/>
            </w:pPr>
            <w:r>
              <w:rPr>
                <w:sz w:val="19"/>
              </w:rPr>
              <w:t>停运权</w:t>
            </w:r>
          </w:p>
        </w:tc>
        <w:tc>
          <w:tcPr>
            <w:tcW w:w="4032" w:type="dxa"/>
          </w:tcPr>
          <w:p w14:paraId="2297AF38">
            <w:pPr>
              <w:spacing w:after="0" w:line="240" w:lineRule="auto"/>
            </w:pPr>
            <w:r>
              <w:rPr>
                <w:sz w:val="19"/>
              </w:rPr>
              <w:t>CISG 71；UCC 2-705</w:t>
            </w:r>
          </w:p>
        </w:tc>
        <w:tc>
          <w:tcPr>
            <w:tcW w:w="1440" w:type="dxa"/>
          </w:tcPr>
          <w:p w14:paraId="6FBD6E73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6AFC1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A69D801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92" w:type="dxa"/>
          </w:tcPr>
          <w:p w14:paraId="7B651F59">
            <w:pPr>
              <w:spacing w:after="0" w:line="240" w:lineRule="auto"/>
            </w:pPr>
            <w:r>
              <w:rPr>
                <w:sz w:val="19"/>
              </w:rPr>
              <w:t>留置权</w:t>
            </w:r>
          </w:p>
        </w:tc>
        <w:tc>
          <w:tcPr>
            <w:tcW w:w="4032" w:type="dxa"/>
          </w:tcPr>
          <w:p w14:paraId="41635024">
            <w:pPr>
              <w:spacing w:after="0" w:line="240" w:lineRule="auto"/>
            </w:pPr>
            <w:r>
              <w:rPr>
                <w:sz w:val="19"/>
              </w:rPr>
              <w:t>CISG 58；UCC 2-703；民法典447</w:t>
            </w:r>
          </w:p>
        </w:tc>
        <w:tc>
          <w:tcPr>
            <w:tcW w:w="1440" w:type="dxa"/>
          </w:tcPr>
          <w:p w14:paraId="679652AA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0CB0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4E9871DF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92" w:type="dxa"/>
          </w:tcPr>
          <w:p w14:paraId="118CD918">
            <w:pPr>
              <w:spacing w:after="0" w:line="240" w:lineRule="auto"/>
            </w:pPr>
            <w:r>
              <w:rPr>
                <w:sz w:val="19"/>
              </w:rPr>
              <w:t>转售减损</w:t>
            </w:r>
          </w:p>
        </w:tc>
        <w:tc>
          <w:tcPr>
            <w:tcW w:w="4032" w:type="dxa"/>
          </w:tcPr>
          <w:p w14:paraId="092039F1">
            <w:pPr>
              <w:spacing w:after="0" w:line="240" w:lineRule="auto"/>
            </w:pPr>
            <w:r>
              <w:rPr>
                <w:sz w:val="19"/>
              </w:rPr>
              <w:t>CISG 75；UCC 2-706</w:t>
            </w:r>
          </w:p>
        </w:tc>
        <w:tc>
          <w:tcPr>
            <w:tcW w:w="1440" w:type="dxa"/>
          </w:tcPr>
          <w:p w14:paraId="0408EB3B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510E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93A4DF1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92" w:type="dxa"/>
          </w:tcPr>
          <w:p w14:paraId="7E79CAE5">
            <w:pPr>
              <w:spacing w:after="0" w:line="240" w:lineRule="auto"/>
            </w:pPr>
            <w:r>
              <w:rPr>
                <w:sz w:val="19"/>
              </w:rPr>
              <w:t>附带损失</w:t>
            </w:r>
          </w:p>
        </w:tc>
        <w:tc>
          <w:tcPr>
            <w:tcW w:w="4032" w:type="dxa"/>
          </w:tcPr>
          <w:p w14:paraId="65FA3E2E">
            <w:pPr>
              <w:spacing w:after="0" w:line="240" w:lineRule="auto"/>
            </w:pPr>
            <w:r>
              <w:rPr>
                <w:sz w:val="19"/>
              </w:rPr>
              <w:t>UCC 2-710；CISG 74</w:t>
            </w:r>
          </w:p>
        </w:tc>
        <w:tc>
          <w:tcPr>
            <w:tcW w:w="1440" w:type="dxa"/>
          </w:tcPr>
          <w:p w14:paraId="4ED3D3AC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0292E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B341039">
            <w:pPr>
              <w:spacing w:after="0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92" w:type="dxa"/>
          </w:tcPr>
          <w:p w14:paraId="20B17C05">
            <w:pPr>
              <w:spacing w:after="0" w:line="240" w:lineRule="auto"/>
            </w:pPr>
            <w:r>
              <w:rPr>
                <w:sz w:val="19"/>
              </w:rPr>
              <w:t>利润损失</w:t>
            </w:r>
          </w:p>
        </w:tc>
        <w:tc>
          <w:tcPr>
            <w:tcW w:w="4032" w:type="dxa"/>
          </w:tcPr>
          <w:p w14:paraId="2A5A54B8">
            <w:pPr>
              <w:spacing w:after="0" w:line="240" w:lineRule="auto"/>
            </w:pPr>
            <w:r>
              <w:rPr>
                <w:sz w:val="19"/>
              </w:rPr>
              <w:t>CISG 74；UCC 2-708(2)</w:t>
            </w:r>
          </w:p>
        </w:tc>
        <w:tc>
          <w:tcPr>
            <w:tcW w:w="1440" w:type="dxa"/>
          </w:tcPr>
          <w:p w14:paraId="44374DB5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1AE5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54B372EA">
            <w:pPr>
              <w:spacing w:after="0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592" w:type="dxa"/>
          </w:tcPr>
          <w:p w14:paraId="25B39CA2">
            <w:pPr>
              <w:spacing w:after="0" w:line="240" w:lineRule="auto"/>
            </w:pPr>
            <w:r>
              <w:rPr>
                <w:sz w:val="19"/>
              </w:rPr>
              <w:t>违约金效力</w:t>
            </w:r>
          </w:p>
        </w:tc>
        <w:tc>
          <w:tcPr>
            <w:tcW w:w="4032" w:type="dxa"/>
          </w:tcPr>
          <w:p w14:paraId="0D35E1B6">
            <w:pPr>
              <w:spacing w:after="0" w:line="240" w:lineRule="auto"/>
            </w:pPr>
            <w:r>
              <w:rPr>
                <w:sz w:val="19"/>
              </w:rPr>
              <w:t>UCC 2-718</w:t>
            </w:r>
          </w:p>
        </w:tc>
        <w:tc>
          <w:tcPr>
            <w:tcW w:w="1440" w:type="dxa"/>
          </w:tcPr>
          <w:p w14:paraId="68EE1CB2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2C70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DDFE4CF">
            <w:pPr>
              <w:spacing w:after="0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592" w:type="dxa"/>
          </w:tcPr>
          <w:p w14:paraId="6A4201C2">
            <w:pPr>
              <w:spacing w:after="0" w:line="240" w:lineRule="auto"/>
            </w:pPr>
            <w:r>
              <w:rPr>
                <w:sz w:val="19"/>
              </w:rPr>
              <w:t>轻微瑕疵拒收</w:t>
            </w:r>
          </w:p>
        </w:tc>
        <w:tc>
          <w:tcPr>
            <w:tcW w:w="4032" w:type="dxa"/>
          </w:tcPr>
          <w:p w14:paraId="26E3CF18">
            <w:pPr>
              <w:spacing w:after="0" w:line="240" w:lineRule="auto"/>
            </w:pPr>
            <w:r>
              <w:rPr>
                <w:sz w:val="19"/>
              </w:rPr>
              <w:t>CISG 25, 51；UCC 2-601, 2-608(1)</w:t>
            </w:r>
          </w:p>
        </w:tc>
        <w:tc>
          <w:tcPr>
            <w:tcW w:w="1440" w:type="dxa"/>
          </w:tcPr>
          <w:p w14:paraId="6F072B04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2673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344B9354">
            <w:pPr>
              <w:spacing w:after="0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592" w:type="dxa"/>
          </w:tcPr>
          <w:p w14:paraId="3749563E">
            <w:pPr>
              <w:spacing w:after="0" w:line="240" w:lineRule="auto"/>
            </w:pPr>
            <w:r>
              <w:rPr>
                <w:sz w:val="19"/>
              </w:rPr>
              <w:t>信用证拒付</w:t>
            </w:r>
          </w:p>
        </w:tc>
        <w:tc>
          <w:tcPr>
            <w:tcW w:w="4032" w:type="dxa"/>
          </w:tcPr>
          <w:p w14:paraId="0BC1E11C">
            <w:pPr>
              <w:spacing w:after="0" w:line="240" w:lineRule="auto"/>
            </w:pPr>
            <w:r>
              <w:rPr>
                <w:sz w:val="19"/>
              </w:rPr>
              <w:t>UCP600第4条；CISG 54；UCC 2-511</w:t>
            </w:r>
          </w:p>
        </w:tc>
        <w:tc>
          <w:tcPr>
            <w:tcW w:w="1440" w:type="dxa"/>
          </w:tcPr>
          <w:p w14:paraId="79A1DB67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3022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E01285C">
            <w:pPr>
              <w:spacing w:after="0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2592" w:type="dxa"/>
          </w:tcPr>
          <w:p w14:paraId="1DC1F1EC">
            <w:pPr>
              <w:spacing w:after="0" w:line="240" w:lineRule="auto"/>
            </w:pPr>
            <w:r>
              <w:rPr>
                <w:sz w:val="19"/>
              </w:rPr>
              <w:t>救济条款缺失</w:t>
            </w:r>
          </w:p>
        </w:tc>
        <w:tc>
          <w:tcPr>
            <w:tcW w:w="4032" w:type="dxa"/>
          </w:tcPr>
          <w:p w14:paraId="4543EDA5">
            <w:pPr>
              <w:spacing w:after="0" w:line="240" w:lineRule="auto"/>
            </w:pPr>
            <w:r>
              <w:rPr>
                <w:sz w:val="19"/>
              </w:rPr>
              <w:t>UCC 2-703；CISG 61</w:t>
            </w:r>
          </w:p>
        </w:tc>
        <w:tc>
          <w:tcPr>
            <w:tcW w:w="1440" w:type="dxa"/>
          </w:tcPr>
          <w:p w14:paraId="7E6E7521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16B23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D07D3E7">
            <w:pPr>
              <w:spacing w:after="0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2592" w:type="dxa"/>
          </w:tcPr>
          <w:p w14:paraId="449E5DF2">
            <w:pPr>
              <w:spacing w:after="0" w:line="240" w:lineRule="auto"/>
            </w:pPr>
            <w:r>
              <w:rPr>
                <w:sz w:val="19"/>
              </w:rPr>
              <w:t>违约金条款缺失</w:t>
            </w:r>
          </w:p>
        </w:tc>
        <w:tc>
          <w:tcPr>
            <w:tcW w:w="4032" w:type="dxa"/>
          </w:tcPr>
          <w:p w14:paraId="65D3FE41">
            <w:pPr>
              <w:spacing w:after="0" w:line="240" w:lineRule="auto"/>
            </w:pPr>
            <w:r>
              <w:rPr>
                <w:sz w:val="19"/>
              </w:rPr>
              <w:t>UCC 2-718；CISG 74</w:t>
            </w:r>
          </w:p>
        </w:tc>
        <w:tc>
          <w:tcPr>
            <w:tcW w:w="1440" w:type="dxa"/>
          </w:tcPr>
          <w:p w14:paraId="37FD8EC8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2FAB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0854B33">
            <w:pPr>
              <w:spacing w:after="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2592" w:type="dxa"/>
          </w:tcPr>
          <w:p w14:paraId="080BFEEF">
            <w:pPr>
              <w:spacing w:after="0" w:line="240" w:lineRule="auto"/>
            </w:pPr>
            <w:r>
              <w:rPr>
                <w:sz w:val="19"/>
              </w:rPr>
              <w:t>检验期异议期缺失</w:t>
            </w:r>
          </w:p>
        </w:tc>
        <w:tc>
          <w:tcPr>
            <w:tcW w:w="4032" w:type="dxa"/>
          </w:tcPr>
          <w:p w14:paraId="2A5E0B23">
            <w:pPr>
              <w:spacing w:after="0" w:line="240" w:lineRule="auto"/>
            </w:pPr>
            <w:r>
              <w:rPr>
                <w:sz w:val="19"/>
              </w:rPr>
              <w:t>UCC 2-602；CISG 38, 39</w:t>
            </w:r>
          </w:p>
        </w:tc>
        <w:tc>
          <w:tcPr>
            <w:tcW w:w="1440" w:type="dxa"/>
          </w:tcPr>
          <w:p w14:paraId="60BDAD02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73A35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150E027">
            <w:pPr>
              <w:spacing w:after="0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2592" w:type="dxa"/>
          </w:tcPr>
          <w:p w14:paraId="76DC039D">
            <w:pPr>
              <w:spacing w:after="0" w:line="240" w:lineRule="auto"/>
            </w:pPr>
            <w:r>
              <w:rPr>
                <w:sz w:val="19"/>
              </w:rPr>
              <w:t>所有权保留缺失</w:t>
            </w:r>
          </w:p>
        </w:tc>
        <w:tc>
          <w:tcPr>
            <w:tcW w:w="4032" w:type="dxa"/>
          </w:tcPr>
          <w:p w14:paraId="61C0DCF5">
            <w:pPr>
              <w:spacing w:after="0" w:line="240" w:lineRule="auto"/>
            </w:pPr>
            <w:r>
              <w:rPr>
                <w:sz w:val="19"/>
              </w:rPr>
              <w:t>民法典641；UCC title retention</w:t>
            </w:r>
          </w:p>
        </w:tc>
        <w:tc>
          <w:tcPr>
            <w:tcW w:w="1440" w:type="dxa"/>
          </w:tcPr>
          <w:p w14:paraId="42C7ABA0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75F75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706E17FA">
            <w:pPr>
              <w:spacing w:after="0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2592" w:type="dxa"/>
          </w:tcPr>
          <w:p w14:paraId="665ECAAE">
            <w:pPr>
              <w:spacing w:after="0" w:line="240" w:lineRule="auto"/>
            </w:pPr>
            <w:r>
              <w:rPr>
                <w:sz w:val="19"/>
              </w:rPr>
              <w:t>法律适用缺失</w:t>
            </w:r>
          </w:p>
        </w:tc>
        <w:tc>
          <w:tcPr>
            <w:tcW w:w="4032" w:type="dxa"/>
          </w:tcPr>
          <w:p w14:paraId="480F0D20">
            <w:pPr>
              <w:spacing w:after="0" w:line="240" w:lineRule="auto"/>
            </w:pPr>
            <w:r>
              <w:rPr>
                <w:sz w:val="19"/>
              </w:rPr>
              <w:t>CISG 1；法律适用法41</w:t>
            </w:r>
          </w:p>
        </w:tc>
        <w:tc>
          <w:tcPr>
            <w:tcW w:w="1440" w:type="dxa"/>
          </w:tcPr>
          <w:p w14:paraId="6B8FA7B8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41C3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76178B3">
            <w:pPr>
              <w:spacing w:after="0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592" w:type="dxa"/>
          </w:tcPr>
          <w:p w14:paraId="4F280C74">
            <w:pPr>
              <w:spacing w:after="0" w:line="240" w:lineRule="auto"/>
            </w:pPr>
            <w:r>
              <w:rPr>
                <w:sz w:val="19"/>
              </w:rPr>
              <w:t>不可抗力笼统</w:t>
            </w:r>
          </w:p>
        </w:tc>
        <w:tc>
          <w:tcPr>
            <w:tcW w:w="4032" w:type="dxa"/>
          </w:tcPr>
          <w:p w14:paraId="37D55F0F">
            <w:pPr>
              <w:spacing w:after="0" w:line="240" w:lineRule="auto"/>
            </w:pPr>
            <w:r>
              <w:rPr>
                <w:sz w:val="19"/>
              </w:rPr>
              <w:t>CISG 79；民法典180</w:t>
            </w:r>
          </w:p>
        </w:tc>
        <w:tc>
          <w:tcPr>
            <w:tcW w:w="1440" w:type="dxa"/>
          </w:tcPr>
          <w:p w14:paraId="7F1FFD0A">
            <w:pPr>
              <w:spacing w:after="0" w:line="240" w:lineRule="auto"/>
              <w:jc w:val="center"/>
            </w:pPr>
            <w:r>
              <w:rPr>
                <w:sz w:val="19"/>
              </w:rPr>
              <w:t>🟡 中风险</w:t>
            </w:r>
          </w:p>
        </w:tc>
      </w:tr>
      <w:tr w14:paraId="104E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6CDD2CC2">
            <w:pPr>
              <w:spacing w:after="0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2592" w:type="dxa"/>
          </w:tcPr>
          <w:p w14:paraId="4B57A19B">
            <w:pPr>
              <w:spacing w:after="0" w:line="240" w:lineRule="auto"/>
            </w:pPr>
            <w:r>
              <w:rPr>
                <w:sz w:val="19"/>
              </w:rPr>
              <w:t>FOB vs CIF</w:t>
            </w:r>
          </w:p>
        </w:tc>
        <w:tc>
          <w:tcPr>
            <w:tcW w:w="4032" w:type="dxa"/>
          </w:tcPr>
          <w:p w14:paraId="69C8E81B">
            <w:pPr>
              <w:spacing w:after="0" w:line="240" w:lineRule="auto"/>
            </w:pPr>
            <w:r>
              <w:rPr>
                <w:sz w:val="19"/>
              </w:rPr>
              <w:t>Incoterms® 2020</w:t>
            </w:r>
          </w:p>
        </w:tc>
        <w:tc>
          <w:tcPr>
            <w:tcW w:w="1440" w:type="dxa"/>
          </w:tcPr>
          <w:p w14:paraId="44966D90">
            <w:pPr>
              <w:spacing w:after="0" w:line="240" w:lineRule="auto"/>
              <w:jc w:val="center"/>
            </w:pPr>
            <w:r>
              <w:rPr>
                <w:sz w:val="19"/>
              </w:rPr>
              <w:t>⚪ 提示</w:t>
            </w:r>
          </w:p>
        </w:tc>
      </w:tr>
      <w:tr w14:paraId="7745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0DD1A596">
            <w:pPr>
              <w:spacing w:after="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2592" w:type="dxa"/>
          </w:tcPr>
          <w:p w14:paraId="2D623E33">
            <w:pPr>
              <w:spacing w:after="0" w:line="240" w:lineRule="auto"/>
            </w:pPr>
            <w:r>
              <w:rPr>
                <w:sz w:val="19"/>
              </w:rPr>
              <w:t>仲裁跨境执行</w:t>
            </w:r>
          </w:p>
        </w:tc>
        <w:tc>
          <w:tcPr>
            <w:tcW w:w="4032" w:type="dxa"/>
          </w:tcPr>
          <w:p w14:paraId="0C5107D3">
            <w:pPr>
              <w:spacing w:after="0" w:line="240" w:lineRule="auto"/>
            </w:pPr>
            <w:r>
              <w:rPr>
                <w:sz w:val="19"/>
              </w:rPr>
              <w:t>纽约公约III, V；FAA 207</w:t>
            </w:r>
          </w:p>
        </w:tc>
        <w:tc>
          <w:tcPr>
            <w:tcW w:w="1440" w:type="dxa"/>
          </w:tcPr>
          <w:p w14:paraId="7BD53DD9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14:paraId="35C02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1A14B3BC">
            <w:pPr>
              <w:spacing w:after="0" w:line="240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2592" w:type="dxa"/>
          </w:tcPr>
          <w:p w14:paraId="12240E1A">
            <w:pPr>
              <w:spacing w:after="0" w:line="240" w:lineRule="auto"/>
            </w:pPr>
            <w:r>
              <w:rPr>
                <w:sz w:val="19"/>
              </w:rPr>
              <w:t>美国法院管辖</w:t>
            </w:r>
          </w:p>
        </w:tc>
        <w:tc>
          <w:tcPr>
            <w:tcW w:w="4032" w:type="dxa"/>
          </w:tcPr>
          <w:p w14:paraId="2E6BB3D0">
            <w:pPr>
              <w:spacing w:after="0" w:line="240" w:lineRule="auto"/>
            </w:pPr>
            <w:r>
              <w:rPr>
                <w:sz w:val="19"/>
              </w:rPr>
              <w:t>长臂管辖；纽约公约；民诉法涉外编</w:t>
            </w:r>
          </w:p>
        </w:tc>
        <w:tc>
          <w:tcPr>
            <w:tcW w:w="1440" w:type="dxa"/>
          </w:tcPr>
          <w:p w14:paraId="554E5380">
            <w:pPr>
              <w:spacing w:after="0" w:line="240" w:lineRule="auto"/>
              <w:jc w:val="center"/>
            </w:pPr>
            <w:r>
              <w:rPr>
                <w:sz w:val="19"/>
              </w:rPr>
              <w:t>🔴 高风险</w:t>
            </w:r>
          </w:p>
        </w:tc>
      </w:tr>
      <w:tr w14:paraId="7072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" w:type="dxa"/>
          </w:tcPr>
          <w:p w14:paraId="26797231">
            <w:pPr>
              <w:spacing w:after="0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2592" w:type="dxa"/>
          </w:tcPr>
          <w:p w14:paraId="444D2365">
            <w:pPr>
              <w:spacing w:after="0" w:line="240" w:lineRule="auto"/>
            </w:pPr>
            <w:r>
              <w:rPr>
                <w:sz w:val="19"/>
              </w:rPr>
              <w:t>72小时应急</w:t>
            </w:r>
          </w:p>
        </w:tc>
        <w:tc>
          <w:tcPr>
            <w:tcW w:w="4032" w:type="dxa"/>
          </w:tcPr>
          <w:p w14:paraId="27BDE9E5">
            <w:pPr>
              <w:spacing w:after="0" w:line="240" w:lineRule="auto"/>
            </w:pPr>
            <w:r>
              <w:rPr>
                <w:sz w:val="19"/>
              </w:rPr>
              <w:t>UCC 2-705；CISG 71；民诉法104</w:t>
            </w:r>
          </w:p>
        </w:tc>
        <w:tc>
          <w:tcPr>
            <w:tcW w:w="1440" w:type="dxa"/>
          </w:tcPr>
          <w:p w14:paraId="63C15DD3">
            <w:pPr>
              <w:spacing w:after="0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03A6D276">
      <w:pPr>
        <w:spacing w:before="60" w:after="6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064E5D"/>
    <w:rsid w:val="13DC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3026</Words>
  <Characters>3681</Characters>
  <Lines>0</Lines>
  <Paragraphs>0</Paragraphs>
  <TotalTime>1</TotalTime>
  <ScaleCrop>false</ScaleCrop>
  <LinksUpToDate>false</LinksUpToDate>
  <CharactersWithSpaces>3765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千逐</cp:lastModifiedBy>
  <dcterms:modified xsi:type="dcterms:W3CDTF">2026-08-22T16:42:53Z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eyJoZGlkIjoiYjkyZmNhZmMwYTRkMzdjNDc0ZDBiODA4ZTNmNjg2YzYiLCJ1c2VySWQiOiIxNDA4NDUzMDM3In0=</vt:lpwstr>
  </property>
  <property fmtid="{D5CDD505-2E9C-101B-9397-08002B2CF9AE}" pid="3" name="KSOProductBuildVer">
    <vt:lpwstr>2052-12.1.0.28043</vt:lpwstr>
  </property>
  <property fmtid="{D5CDD505-2E9C-101B-9397-08002B2CF9AE}" pid="4" name="ICV">
    <vt:lpwstr>D08372CBD1964F1FB5D1E8F6D789A894_13</vt:lpwstr>
  </property>
</Properties>
</file>