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小林基金计算工具食用指南</w:t>
      </w:r>
    </w:p>
    <w:p>
      <w:pPr>
        <w:pStyle w:val="3"/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注意事项：</w:t>
      </w:r>
    </w:p>
    <w:p>
      <w:pPr>
        <w:pStyle w:val="3"/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切记不要改动Excel文件的名字，否则程序无法读取。</w:t>
      </w:r>
    </w:p>
    <w:p>
      <w:pPr>
        <w:pStyle w:val="3"/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切记不要改动Excel文件内的格式，否则程序无法运行。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开始使用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录入基础数据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红框内的数据为需要录入的基础必填数据 ！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2011680"/>
            <wp:effectExtent l="0" t="0" r="1206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红框内为一个标准基金格式，如果有更多基金，复制该格式到后面即可。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027680"/>
            <wp:effectExtent l="0" t="0" r="1143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默认为七个基金，如果有多个，可以参照第一个基金格式在第七个基金后面添加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需要看图表的可以使用表格工具自带的图表功能生成图表。后续会更新自动图表。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CAEDFF"/>
    <w:multiLevelType w:val="singleLevel"/>
    <w:tmpl w:val="F3CAEDF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1659FA"/>
    <w:rsid w:val="009B16CC"/>
    <w:rsid w:val="7216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市委办</Company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2021-01-14T13:06:00Z</dcterms:created>
  <dc:creator>多吃一口</dc:creator>
  <cp:lastModifiedBy>多吃一口</cp:lastModifiedBy>
  <dcterms:modified xsi:type="dcterms:W3CDTF">2021-01-14T13:14:53Z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