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0bb917f6fc9fe0f602926a0f669e55a3c9f2b4"/>
    <w:p>
      <w:pPr>
        <w:pStyle w:val="Heading1"/>
      </w:pPr>
      <w:r>
        <w:t xml:space="preserve">RX-05 — Free Model Hunter &amp; Zero-Cost Eligibility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0.1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Proposed discovery and pricing-gate specification ·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t xml:space="preserve">Architecture v0.1 §§6–7 ·</w:t>
      </w:r>
      <w:r>
        <w:t xml:space="preserve"> </w:t>
      </w:r>
      <w:r>
        <w:rPr>
          <w:b/>
          <w:bCs/>
        </w:rPr>
        <w:t xml:space="preserve">Diagrams:</w:t>
      </w:r>
      <w:r>
        <w:t xml:space="preserve"> </w:t>
      </w:r>
      <w:r>
        <w:t xml:space="preserve">D04</w:t>
      </w:r>
    </w:p>
    <w:bookmarkStart w:id="20" w:name="X76a7de7119a3259e698fea5e3e7ed4b32dc9689"/>
    <w:p>
      <w:pPr>
        <w:pStyle w:val="Heading2"/>
      </w:pPr>
      <w:r>
        <w:t xml:space="preserve">1. What 'free' actually means</w:t>
      </w:r>
    </w:p>
    <w:p>
      <w:pPr>
        <w:pStyle w:val="FirstParagraph"/>
      </w:pPr>
      <w:r>
        <w:t xml:space="preserve">For a specific inference, a route is eligible only when the</w:t>
      </w:r>
      <w:r>
        <w:t xml:space="preserve"> </w:t>
      </w:r>
      <w:r>
        <w:rPr>
          <w:b/>
          <w:bCs/>
        </w:rPr>
        <w:t xml:space="preserve">exact account + provider + serving endpoint + model + runtime configuration</w:t>
      </w:r>
      <w:r>
        <w:t xml:space="preserve"> </w:t>
      </w:r>
      <w:r>
        <w:t xml:space="preserve">is known to avoid paid AI API/model charges and to satisfy task requirements. A catalog's price-zero field,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label or a public free-tier claim is insufficient. Endpoint charges may include input, output, cached, reasoning/media tokens, per-request fees, routing fees, BYOK charges or expiring promotional conditions.</w:t>
      </w:r>
    </w:p>
    <w:p>
      <w:pPr>
        <w:pStyle w:val="BodyText"/>
      </w:pPr>
      <w:r>
        <w:rPr>
          <w:b/>
          <w:bCs/>
        </w:rPr>
        <w:t xml:space="preserve">REQ-18:</w:t>
      </w:r>
      <w:r>
        <w:t xml:space="preserve"> </w:t>
      </w:r>
      <w:r>
        <w:t xml:space="preserve">In Zero-Cost Mode, any unknown, stale, mixed, paid or promotional-credit-only route is non-dispatchable unless a separate explicit user-approved rule covers it.</w:t>
      </w:r>
      <w:r>
        <w:br/>
      </w:r>
      <w:r>
        <w:rPr>
          <w:b/>
          <w:bCs/>
        </w:rPr>
        <w:t xml:space="preserve">REQ-19:</w:t>
      </w:r>
      <w:r>
        <w:t xml:space="preserve"> </w:t>
      </w:r>
      <w:r>
        <w:t xml:space="preserve">Model catalogs and benchmark popularity are discovery evidence, not authority for account-specific cost.</w:t>
      </w:r>
      <w:r>
        <w:br/>
      </w:r>
      <w:r>
        <w:rPr>
          <w:b/>
          <w:bCs/>
        </w:rPr>
        <w:t xml:space="preserve">REQ-20:</w:t>
      </w:r>
      <w:r>
        <w:t xml:space="preserve"> </w:t>
      </w:r>
      <w:r>
        <w:t xml:space="preserve">Exhausted free quotas cause queue/pausing or a verified-free switch; no paid fallback.</w:t>
      </w:r>
      <w:r>
        <w:br/>
      </w:r>
      <w:r>
        <w:rPr>
          <w:b/>
          <w:bCs/>
        </w:rPr>
        <w:t xml:space="preserve">REQ-21:</w:t>
      </w:r>
      <w:r>
        <w:t xml:space="preserve"> </w:t>
      </w:r>
      <w:r>
        <w:t xml:space="preserve">Each qualification must be time-bound, explainable and rechecked on relevant errors.</w:t>
      </w:r>
    </w:p>
    <w:bookmarkEnd w:id="20"/>
    <w:bookmarkStart w:id="21" w:name="X05097b618475ce1abd55daec28a85762e0626d2"/>
    <w:p>
      <w:pPr>
        <w:pStyle w:val="Heading2"/>
      </w:pPr>
      <w:r>
        <w:t xml:space="preserve">2. Source priority and provenance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Provider-specific account/billing APIs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authorized account key/quota/status endpoints;</w:t>
      </w:r>
      <w:r>
        <w:t xml:space="preserve"> </w:t>
      </w:r>
      <w:r>
        <w:rPr>
          <w:b/>
          <w:bCs/>
        </w:rPr>
        <w:t xml:space="preserve">What to trust it for:</w:t>
      </w:r>
      <w:r>
        <w:t xml:space="preserve"> </w:t>
      </w:r>
      <w:r>
        <w:t xml:space="preserve">account route/grant state, subject to documented semantics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Endpoint/provider catalog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OpenRouter models and endpoint APIs, direct providers;</w:t>
      </w:r>
      <w:r>
        <w:t xml:space="preserve"> </w:t>
      </w:r>
      <w:r>
        <w:rPr>
          <w:b/>
          <w:bCs/>
        </w:rPr>
        <w:t xml:space="preserve">What to trust it for:</w:t>
      </w:r>
      <w:r>
        <w:t xml:space="preserve"> </w:t>
      </w:r>
      <w:r>
        <w:t xml:space="preserve">current offered models, visible prices, feature claims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Aggregated model metadata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Models.dev;</w:t>
      </w:r>
      <w:r>
        <w:t xml:space="preserve"> </w:t>
      </w:r>
      <w:r>
        <w:rPr>
          <w:b/>
          <w:bCs/>
        </w:rPr>
        <w:t xml:space="preserve">What to trust it for:</w:t>
      </w:r>
      <w:r>
        <w:t xml:space="preserve"> </w:t>
      </w:r>
      <w:r>
        <w:t xml:space="preserve">provider aliases, context/tool traits, cross-check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 OpenCode API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rPr>
          <w:rStyle w:val="VerbatimChar"/>
        </w:rPr>
        <w:t xml:space="preserve">/provider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</w:t>
      </w:r>
      <w:r>
        <w:t xml:space="preserve">, actual connected server;</w:t>
      </w:r>
      <w:r>
        <w:t xml:space="preserve"> </w:t>
      </w:r>
      <w:r>
        <w:rPr>
          <w:b/>
          <w:bCs/>
        </w:rPr>
        <w:t xml:space="preserve">What to trust it for:</w:t>
      </w:r>
      <w:r>
        <w:t xml:space="preserve"> </w:t>
      </w:r>
      <w:r>
        <w:t xml:space="preserve">model/tool support in this server version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Controlled probe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low-risk free call with recorded usage;</w:t>
      </w:r>
      <w:r>
        <w:t xml:space="preserve"> </w:t>
      </w:r>
      <w:r>
        <w:rPr>
          <w:b/>
          <w:bCs/>
        </w:rPr>
        <w:t xml:space="preserve">What to trust it for:</w:t>
      </w:r>
      <w:r>
        <w:t xml:space="preserve"> </w:t>
      </w:r>
      <w:r>
        <w:t xml:space="preserve">observed behavior;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proof of future charge-free operation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search, provider docs, public benchmark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targeted investigation and background;</w:t>
      </w:r>
      <w:r>
        <w:t xml:space="preserve"> </w:t>
      </w:r>
      <w:r>
        <w:rPr>
          <w:b/>
          <w:bCs/>
        </w:rPr>
        <w:t xml:space="preserve">What to trust it for:</w:t>
      </w:r>
      <w:r>
        <w:t xml:space="preserve"> </w:t>
      </w:r>
      <w:r>
        <w:t xml:space="preserve">supplementary, potentially stale evidence</w:t>
      </w:r>
    </w:p>
    <w:p>
      <w:pPr>
        <w:pStyle w:val="FirstParagraph"/>
      </w:pPr>
      <w:r>
        <w:t xml:space="preserve">Store raw source URL, fetch time, ETag/response digest if available, normalized parser version, route identity, account policy hash, and conflict notes. A source conflict is a review event, not a prompt to guess the lowest price.</w:t>
      </w:r>
    </w:p>
    <w:bookmarkEnd w:id="21"/>
    <w:bookmarkStart w:id="22" w:name="Xca55dc53a47fde8b2c27cd099bdb42e30361a7d"/>
    <w:p>
      <w:pPr>
        <w:pStyle w:val="Heading2"/>
      </w:pPr>
      <w:r>
        <w:t xml:space="preserve">3. Candidate states and eligibility lease</w:t>
      </w:r>
    </w:p>
    <w:p>
      <w:pPr>
        <w:pStyle w:val="FirstParagraph"/>
      </w:pPr>
      <w:r>
        <w:t xml:space="preserve">Suggested route states:</w:t>
      </w:r>
      <w:r>
        <w:t xml:space="preserve"> </w:t>
      </w:r>
      <w:r>
        <w:rPr>
          <w:rStyle w:val="VerbatimChar"/>
        </w:rPr>
        <w:t xml:space="preserve">DISCOVERED → NORMALIZED → PRICE_CHECKED → ENTITLEMENT_CHECKED → CAPABILITY_CHECKED → VERIFIED_FREE → QUALIFICATION_PENDING → QUALIFIED</w:t>
      </w:r>
      <w:r>
        <w:t xml:space="preserve">. Exception states: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verification lease</w:t>
      </w:r>
      <w:r>
        <w:t xml:space="preserve"> </w:t>
      </w:r>
      <w:r>
        <w:t xml:space="preserve">is a bounded permit with basis and expiry; renewed on account connection and before costly or long assignments.</w:t>
      </w:r>
      <w:r>
        <w:t xml:space="preserve"> </w:t>
      </w:r>
      <w:r>
        <w:rPr>
          <w:rStyle w:val="VerbatimChar"/>
        </w:rPr>
        <w:t xml:space="preserve">VERIFIED_FREE</w:t>
      </w:r>
      <w:r>
        <w:t xml:space="preserve"> </w:t>
      </w:r>
      <w:r>
        <w:t xml:space="preserve">alone does not make a model capable of a given coding task. A route is dispatchable only when</w:t>
      </w:r>
      <w:r>
        <w:t xml:space="preserve"> </w:t>
      </w:r>
      <w:r>
        <w:rPr>
          <w:b/>
          <w:bCs/>
        </w:rPr>
        <w:t xml:space="preserve">verified free + qualified for task requirements + available quota + permitted privacy + healthy runtime</w:t>
      </w:r>
      <w:r>
        <w:t xml:space="preserve">.</w:t>
      </w:r>
    </w:p>
    <w:bookmarkEnd w:id="22"/>
    <w:bookmarkStart w:id="23" w:name="X75551ed9c0417cd1834de6be1a73fdd775b4f61"/>
    <w:p>
      <w:pPr>
        <w:pStyle w:val="Heading2"/>
      </w:pPr>
      <w:r>
        <w:t xml:space="preserve">4. Canonical identity and data contracts</w:t>
      </w:r>
    </w:p>
    <w:p>
      <w:pPr>
        <w:pStyle w:val="SourceCode"/>
      </w:pPr>
      <w:r>
        <w:rPr>
          <w:rStyle w:val="VerbatimChar"/>
        </w:rPr>
        <w:t xml:space="preserve">RouteIdentity = provider_id + endpoint_id + published_model_id</w:t>
      </w:r>
      <w:r>
        <w:br/>
      </w:r>
      <w:r>
        <w:rPr>
          <w:rStyle w:val="VerbatimChar"/>
        </w:rPr>
        <w:t xml:space="preserve">              + credential/account_id + runtime_config_fingerprint</w:t>
      </w:r>
      <w:r>
        <w:br/>
      </w:r>
      <w:r>
        <w:rPr>
          <w:rStyle w:val="VerbatimChar"/>
        </w:rPr>
        <w:t xml:space="preserve">EligibilityRecord = route + mode + verified_at + expires_at</w:t>
      </w:r>
      <w:r>
        <w:br/>
      </w:r>
      <w:r>
        <w:rPr>
          <w:rStyle w:val="VerbatimChar"/>
        </w:rPr>
        <w:t xml:space="preserve">                  + pricing_evidence_hash + account_evidence_hash</w:t>
      </w:r>
      <w:r>
        <w:br/>
      </w:r>
      <w:r>
        <w:rPr>
          <w:rStyle w:val="VerbatimChar"/>
        </w:rPr>
        <w:t xml:space="preserve">                  + verdict(VERIFIED_FREE | DENIED | UNKNOWN)</w:t>
      </w:r>
      <w:r>
        <w:br/>
      </w:r>
      <w:r>
        <w:rPr>
          <w:rStyle w:val="VerbatimChar"/>
        </w:rPr>
        <w:t xml:space="preserve">QuotaObservation = route + window_start/end + observed_used + observed_remaining</w:t>
      </w:r>
      <w:r>
        <w:br/>
      </w:r>
      <w:r>
        <w:rPr>
          <w:rStyle w:val="VerbatimChar"/>
        </w:rPr>
        <w:t xml:space="preserve">                 + source + confidence + fetched_at</w:t>
      </w:r>
    </w:p>
    <w:p>
      <w:pPr>
        <w:pStyle w:val="FirstParagraph"/>
      </w:pPr>
      <w:r>
        <w:t xml:space="preserve">Do not leak auth secrets into logs. Account IDs should be opaque references to secure credential storage. Handle provider aliases carefully: if serving model is unknowable, it is unsuitable for audited attempts that need exact route traceability.</w:t>
      </w:r>
    </w:p>
    <w:bookmarkEnd w:id="23"/>
    <w:bookmarkStart w:id="24" w:name="X26b573243e556510ae659469ae7d21b1068c102"/>
    <w:p>
      <w:pPr>
        <w:pStyle w:val="Heading2"/>
      </w:pPr>
      <w:r>
        <w:t xml:space="preserve">5. Refresh and backoff rules</w:t>
      </w:r>
    </w:p>
    <w:p>
      <w:pPr>
        <w:pStyle w:val="Compact"/>
        <w:numPr>
          <w:ilvl w:val="0"/>
          <w:numId w:val="1002"/>
        </w:numPr>
      </w:pPr>
      <w:r>
        <w:t xml:space="preserve">On startup and on manual refresh: update catalog snapshots with conditional HTTP requests where supported.</w:t>
      </w:r>
    </w:p>
    <w:p>
      <w:pPr>
        <w:pStyle w:val="Compact"/>
        <w:numPr>
          <w:ilvl w:val="0"/>
          <w:numId w:val="1002"/>
        </w:numPr>
      </w:pPr>
      <w:r>
        <w:t xml:space="preserve">Before new project use: verify account entitlement, provider availability and current price terms.</w:t>
      </w:r>
    </w:p>
    <w:p>
      <w:pPr>
        <w:pStyle w:val="Compact"/>
        <w:numPr>
          <w:ilvl w:val="0"/>
          <w:numId w:val="1002"/>
        </w:numPr>
      </w:pPr>
      <w:r>
        <w:t xml:space="preserve">Before each dispatch: check the unexpired lease plus observed quota and server availability.</w:t>
      </w:r>
    </w:p>
    <w:p>
      <w:pPr>
        <w:pStyle w:val="Compact"/>
        <w:numPr>
          <w:ilvl w:val="0"/>
          <w:numId w:val="1002"/>
        </w:numPr>
      </w:pPr>
      <w:r>
        <w:t xml:space="preserve">On 402, 429, unexpected charge or account change: mark route suspect, halt new dispatches, reconcile, and investigate.</w:t>
      </w:r>
    </w:p>
    <w:p>
      <w:pPr>
        <w:pStyle w:val="Compact"/>
        <w:numPr>
          <w:ilvl w:val="0"/>
          <w:numId w:val="1002"/>
        </w:numPr>
      </w:pPr>
      <w:r>
        <w:t xml:space="preserve">On source/network outage: show stale data with timestamp;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turn stale discovery into fresh authorization.</w:t>
      </w:r>
    </w:p>
    <w:p>
      <w:pPr>
        <w:pStyle w:val="Compact"/>
        <w:numPr>
          <w:ilvl w:val="0"/>
          <w:numId w:val="1002"/>
        </w:numPr>
      </w:pPr>
      <w:r>
        <w:t xml:space="preserve">Prefer per-source backoff and jitter; limit evaluation probes to protect scarce free quota.</w:t>
      </w:r>
    </w:p>
    <w:p>
      <w:pPr>
        <w:pStyle w:val="FirstParagraph"/>
      </w:pPr>
      <w:r>
        <w:rPr>
          <w:b/>
          <w:bCs/>
        </w:rPr>
        <w:t xml:space="preserve">DESIGN-14:</w:t>
      </w:r>
      <w:r>
        <w:t xml:space="preserve"> </w:t>
      </w:r>
      <w:r>
        <w:t xml:space="preserve">Cache and show last-known candidate data for browsing, but fail closed for fresh zero-cost authorization when lease expires.</w:t>
      </w:r>
      <w:r>
        <w:br/>
      </w:r>
      <w:r>
        <w:rPr>
          <w:b/>
          <w:bCs/>
        </w:rPr>
        <w:t xml:space="preserve">DESIGN-15: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NO_ELIGIBLE_MODEL</w:t>
      </w:r>
      <w:r>
        <w:t xml:space="preserve"> </w:t>
      </w:r>
      <w:r>
        <w:t xml:space="preserve">as an explainable blocker, with alternate verified free/local candidates if known.</w:t>
      </w:r>
    </w:p>
    <w:bookmarkEnd w:id="24"/>
    <w:bookmarkStart w:id="25" w:name="X5cb40a99a1c6cc99bd7381ed79e9f9a4faadd98"/>
    <w:p>
      <w:pPr>
        <w:pStyle w:val="Heading2"/>
      </w:pPr>
      <w:r>
        <w:t xml:space="preserve">6. Router contract and dangerous assumptions</w:t>
      </w:r>
    </w:p>
    <w:p>
      <w:pPr>
        <w:pStyle w:val="FirstParagraph"/>
      </w:pPr>
      <w:r>
        <w:rPr>
          <w:rStyle w:val="VerbatimChar"/>
        </w:rPr>
        <w:t xml:space="preserve">Eligibility.check(route, account, task_capability, privacy_policy, mode) → verdict + evidence + expiry + reasons</w:t>
      </w:r>
      <w:r>
        <w:t xml:space="preserve">.</w:t>
      </w:r>
      <w:r>
        <w:t xml:space="preserve"> </w:t>
      </w:r>
      <w:r>
        <w:rPr>
          <w:rStyle w:val="VerbatimChar"/>
        </w:rPr>
        <w:t xml:space="preserve">ModelCatalog.list()</w:t>
      </w:r>
      <w:r>
        <w:t xml:space="preserve"> </w:t>
      </w:r>
      <w:r>
        <w:t xml:space="preserve">must never imply dispatchability. Local models have zero paid remote inference but still need tool/context/quality evaluation and device availability. A seemingly cheap model that fails tools repeatedly should be rejected for high-risk work despite price.</w:t>
      </w:r>
    </w:p>
    <w:bookmarkEnd w:id="25"/>
    <w:bookmarkStart w:id="26" w:name="Xb1700650e312827e22b75c80a045a2b3b78999a"/>
    <w:p>
      <w:pPr>
        <w:pStyle w:val="Heading2"/>
      </w:pPr>
      <w:r>
        <w:t xml:space="preserve">7. Adversarial tests</w:t>
      </w:r>
    </w:p>
    <w:p>
      <w:pPr>
        <w:pStyle w:val="FirstParagraph"/>
      </w:pPr>
      <w:r>
        <w:rPr>
          <w:b/>
          <w:bCs/>
        </w:rPr>
        <w:t xml:space="preserve">MOD-01</w:t>
      </w:r>
      <w:r>
        <w:t xml:space="preserve"> </w:t>
      </w:r>
      <w:r>
        <w:t xml:space="preserve">published price zero but account plan charges → DENY;</w:t>
      </w:r>
      <w:r>
        <w:t xml:space="preserve"> </w:t>
      </w:r>
      <w:r>
        <w:rPr>
          <w:b/>
          <w:bCs/>
        </w:rPr>
        <w:t xml:space="preserve">MOD-02</w:t>
      </w:r>
      <w:r>
        <w:t xml:space="preserve"> </w:t>
      </w:r>
      <w:r>
        <w:t xml:space="preserve">missing output price → UNKNOWN/DENY;</w:t>
      </w:r>
      <w:r>
        <w:t xml:space="preserve"> </w:t>
      </w:r>
      <w:r>
        <w:rPr>
          <w:b/>
          <w:bCs/>
        </w:rPr>
        <w:t xml:space="preserve">MOD-03</w:t>
      </w:r>
      <w:r>
        <w:t xml:space="preserve"> </w:t>
      </w:r>
      <w:r>
        <w:t xml:space="preserve">token cache charged separately → deny if paid;</w:t>
      </w:r>
      <w:r>
        <w:t xml:space="preserve"> </w:t>
      </w:r>
      <w:r>
        <w:rPr>
          <w:b/>
          <w:bCs/>
        </w:rPr>
        <w:t xml:space="preserve">MOD-04</w:t>
      </w:r>
      <w:r>
        <w:t xml:space="preserve"> </w:t>
      </w:r>
      <w:r>
        <w:t xml:space="preserve">exhausted quota cannot route to paid endpoint;</w:t>
      </w:r>
      <w:r>
        <w:t xml:space="preserve"> </w:t>
      </w:r>
      <w:r>
        <w:rPr>
          <w:b/>
          <w:bCs/>
        </w:rPr>
        <w:t xml:space="preserve">MOD-05</w:t>
      </w:r>
      <w:r>
        <w:t xml:space="preserve"> </w:t>
      </w:r>
      <w:r>
        <w:t xml:space="preserve">free alias reveals no exact model → excluded from auditable attempts;</w:t>
      </w:r>
      <w:r>
        <w:t xml:space="preserve"> </w:t>
      </w:r>
      <w:r>
        <w:rPr>
          <w:b/>
          <w:bCs/>
        </w:rPr>
        <w:t xml:space="preserve">MOD-06</w:t>
      </w:r>
      <w:r>
        <w:t xml:space="preserve"> </w:t>
      </w:r>
      <w:r>
        <w:t xml:space="preserve">expired lease after catalog outage → no dispatch;</w:t>
      </w:r>
      <w:r>
        <w:t xml:space="preserve"> </w:t>
      </w:r>
      <w:r>
        <w:rPr>
          <w:b/>
          <w:bCs/>
        </w:rPr>
        <w:t xml:space="preserve">MOD-07</w:t>
      </w:r>
      <w:r>
        <w:t xml:space="preserve"> </w:t>
      </w:r>
      <w:r>
        <w:t xml:space="preserve">free local model permitted only with adequate capability;</w:t>
      </w:r>
      <w:r>
        <w:t xml:space="preserve"> </w:t>
      </w:r>
      <w:r>
        <w:rPr>
          <w:b/>
          <w:bCs/>
        </w:rPr>
        <w:t xml:space="preserve">MOD-08</w:t>
      </w:r>
      <w:r>
        <w:t xml:space="preserve"> </w:t>
      </w:r>
      <w:r>
        <w:t xml:space="preserve">benchmark request itself passes zero-cost gate.</w:t>
      </w:r>
    </w:p>
    <w:bookmarkEnd w:id="26"/>
    <w:bookmarkStart w:id="27" w:name="X59461e468fb20fd469d41531fb83364077e1a16"/>
    <w:p>
      <w:pPr>
        <w:pStyle w:val="Heading2"/>
      </w:pPr>
      <w:r>
        <w:t xml:space="preserve">8. Registry bootstrap</w:t>
      </w:r>
    </w:p>
    <w:p>
      <w:pPr>
        <w:pStyle w:val="FirstParagraph"/>
      </w:pPr>
      <w:r>
        <w:t xml:space="preserve">Bootstrap catalog adapters for OpenRouter and Models.dev, then direct-provider adapters for authorized accounts. Do not hardcode catalog rate limits, plan quotas or specific free-model names. Keep raw evidence and human-readable reasons. Provider contracts and free tiers can change independently of RelayX code.</w:t>
      </w:r>
    </w:p>
    <w:bookmarkEnd w:id="27"/>
    <w:bookmarkEnd w:id="28"/>
    <w:sectPr w:rsidR="00FC693F" w:rsidRPr="0006063C" w:rsidSect="00034616">
      <w:footerReference r:id="rId9" w:type="default"/>
      <w:pgSz w:h="15840" w:w="12240"/>
      <w:pgMar w:bottom="922" w:footer="720" w:gutter="0" w:header="720" w:left="1094" w:right="1094" w:top="9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791"/>
        <w:sz w:val="14"/>
      </w:rPr>
      <w:t>RelayX • AI Orchestration Subordinate Specification v0.1 • Design proposal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56" w:line="254" w:lineRule="auto"/>
    </w:pPr>
    <w:rPr>
      <w:rFonts w:ascii="Aptos" w:hAnsi="Aptos"/>
      <w:color w:val="283946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 w:before="1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8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val="1A486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ptos Display" w:asciiTheme="majorHAnsi" w:cstheme="majorBidi" w:eastAsiaTheme="majorEastAsia" w:hAnsi="Aptos Display" w:hAnsiTheme="majorHAnsi"/>
      <w:i/>
      <w:iCs/>
      <w:color w:val="1A486F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56" w:line="254" w:lineRule="auto"/>
    </w:pPr>
    <w:rPr>
      <w:sz w:val="1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pacing w:after="56" w:line="254" w:lineRule="auto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2026-10-08T03:50:21Z</dcterms:created>
  <dcterms:modified xsi:type="dcterms:W3CDTF">2026-10-08T03:50:21Z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