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e5eaa7ed8e59d42b432aef496d6b9ccbe53196"/>
    <w:p>
      <w:pPr>
        <w:pStyle w:val="Heading1"/>
      </w:pPr>
      <w:r>
        <w:t xml:space="preserve">RX-07 — Supervision, Incidents &amp; Planner-First Recovery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 operations runbook ·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t xml:space="preserve">Architecture v0.1 §§3, 9, 13 ·</w:t>
      </w:r>
      <w:r>
        <w:t xml:space="preserve"> </w:t>
      </w:r>
      <w:r>
        <w:rPr>
          <w:b/>
          <w:bCs/>
        </w:rPr>
        <w:t xml:space="preserve">Diagrams:</w:t>
      </w:r>
      <w:r>
        <w:t xml:space="preserve"> </w:t>
      </w:r>
      <w:r>
        <w:t xml:space="preserve">D06, D07, D09</w:t>
      </w:r>
    </w:p>
    <w:bookmarkStart w:id="20" w:name="X668251a08c984ddf4b69769c050c40eb3e87572"/>
    <w:p>
      <w:pPr>
        <w:pStyle w:val="Heading2"/>
      </w:pPr>
      <w:r>
        <w:t xml:space="preserve">1. Non-negotiable recovery authority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i/>
          <w:iCs/>
        </w:rPr>
        <w:t xml:space="preserve">anything goes wrong</w:t>
      </w:r>
      <w:r>
        <w:t xml:space="preserve">—delivery failure/ambiguity, Worker stall, missing result, broken report, tests failing or an invalid Worker's question protocol—RelayX must return recovery control to the</w:t>
      </w:r>
      <w:r>
        <w:t xml:space="preserve"> </w:t>
      </w:r>
      <w:r>
        <w:rPr>
          <w:b/>
          <w:bCs/>
        </w:rPr>
        <w:t xml:space="preserve">Planner</w:t>
      </w:r>
      <w:r>
        <w:t xml:space="preserve">. The Supervisor may collect evidence, classify and recommend; it cannot silently resend a Worker instruction, replace an unreliable model and continue, or mark work complete. Only a new Planner decision, validated by the Engine, can trigger further Worker actions.</w:t>
      </w:r>
    </w:p>
    <w:p>
      <w:pPr>
        <w:pStyle w:val="BodyText"/>
      </w:pPr>
      <w:r>
        <w:rPr>
          <w:b/>
          <w:bCs/>
        </w:rPr>
        <w:t xml:space="preserve">REQ-25:</w:t>
      </w:r>
      <w:r>
        <w:t xml:space="preserve"> </w:t>
      </w:r>
      <w:r>
        <w:t xml:space="preserve">Every actionable incident has exact affected attempt/assignment/session IDs, evidence packet, classification and Planner decision correlation.</w:t>
      </w:r>
      <w:r>
        <w:br/>
      </w:r>
      <w:r>
        <w:rPr>
          <w:b/>
          <w:bCs/>
        </w:rPr>
        <w:t xml:space="preserve">REQ-26:</w:t>
      </w:r>
      <w:r>
        <w:t xml:space="preserve"> </w:t>
      </w:r>
      <w:r>
        <w:t xml:space="preserve">The reconciler may observe and resolve exact evidence but cannot manufacture a receipt or blindly replay an ambiguous send.</w:t>
      </w:r>
      <w:r>
        <w:br/>
      </w:r>
      <w:r>
        <w:rPr>
          <w:b/>
          <w:bCs/>
        </w:rPr>
        <w:t xml:space="preserve">REQ-27:</w:t>
      </w:r>
      <w:r>
        <w:t xml:space="preserve"> </w:t>
      </w:r>
      <w:r>
        <w:t xml:space="preserve">Pause/Stop suppresses new dispatch; restart reconciliation precedes new work.</w:t>
      </w:r>
    </w:p>
    <w:bookmarkEnd w:id="20"/>
    <w:bookmarkStart w:id="21" w:name="X8a821303139a4a4833bc77a49b0c741ec6b225b"/>
    <w:p>
      <w:pPr>
        <w:pStyle w:val="Heading2"/>
      </w:pPr>
      <w:r>
        <w:t xml:space="preserve">2. Event-driven supervision</w:t>
      </w:r>
    </w:p>
    <w:p>
      <w:pPr>
        <w:pStyle w:val="FirstParagraph"/>
      </w:pPr>
      <w:r>
        <w:t xml:space="preserve">The Engine monitors state changes, OpenCode events, health checks, quota updates, Worker questions, deadlines, completion reports and test outcomes. The Supervisor AI is invoked when a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is needed—not on every fixed polling tick. Events are deduplicated; repeated identical incidents must not generate unbounded Planner messages or task creation. Every proposal has an origin event ID, rationale and constrained next-action list.</w:t>
      </w:r>
    </w:p>
    <w:bookmarkEnd w:id="21"/>
    <w:bookmarkStart w:id="22" w:name="X5ccda7448535889dbb1d529f994011a4ecf723d"/>
    <w:p>
      <w:pPr>
        <w:pStyle w:val="Heading2"/>
      </w:pPr>
      <w:r>
        <w:t xml:space="preserve">3. Incident classes and 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Send status unknown;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exact session transcript/provider ID reconciliation;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if still ambiguous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Provider/server unreachable;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health probe, durable disconnect state;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chooses wait/rebind/replan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Worker stalled;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observe run status/deadline, preserve logs;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decides correction/stop/retry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Missing/invalid report;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mark REVIEW/BLOCKED with evidence gap;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produces revised instruction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Failed tests;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persist test results and diff;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analyses root cause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Model no longer free;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immediately deny new paid route;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chooses eligible alternative/work split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Pending Worker question;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exact question ID/run correlation;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 answers same pending question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Security/policy violation;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deny command, quarantine if needed;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Human approval for risky exception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INC-09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Unmatched external session;</w:t>
      </w:r>
      <w:r>
        <w:t xml:space="preserve"> </w:t>
      </w:r>
      <w:r>
        <w:rPr>
          <w:b/>
          <w:bCs/>
        </w:rPr>
        <w:t xml:space="preserve">Deterministic step:</w:t>
      </w:r>
      <w:r>
        <w:t xml:space="preserve"> </w:t>
      </w:r>
      <w:r>
        <w:t xml:space="preserve">block, inspect authoritative identity;</w:t>
      </w:r>
      <w:r>
        <w:t xml:space="preserve"> </w:t>
      </w:r>
      <w:r>
        <w:rPr>
          <w:b/>
          <w:bCs/>
        </w:rPr>
        <w:t xml:space="preserve">Required decision:</w:t>
      </w:r>
      <w:r>
        <w:t xml:space="preserve"> </w:t>
      </w:r>
      <w:r>
        <w:t xml:space="preserve">Planner/human binding decision</w:t>
      </w:r>
    </w:p>
    <w:bookmarkEnd w:id="22"/>
    <w:bookmarkStart w:id="23" w:name="X878a71ca9d8ce72d92cd6dba7934f0a348e555d"/>
    <w:p>
      <w:pPr>
        <w:pStyle w:val="Heading2"/>
      </w:pPr>
      <w:r>
        <w:t xml:space="preserve">4. Evidence packet schema</w:t>
      </w:r>
    </w:p>
    <w:p>
      <w:pPr>
        <w:pStyle w:val="FirstParagraph"/>
      </w:pPr>
      <w:r>
        <w:t xml:space="preserve">Each recovery case includes: correlation ID; project/task/assignment/attempt/delivery IDs; exact Planner conversation ID and Worker session ID; incident source and time; last confirmed provider boundary; what is known vs uncertain; model route and quota state; recent tool calls, file/test evidence with redactions; effective policy version; safe next options. Avoid hallucinated 'Worker completed' statements when only HTTP acceptance exists.</w:t>
      </w:r>
    </w:p>
    <w:p>
      <w:pPr>
        <w:pStyle w:val="BodyText"/>
      </w:pPr>
      <w:r>
        <w:rPr>
          <w:b/>
          <w:bCs/>
        </w:rPr>
        <w:t xml:space="preserve">DESIGN-19:</w:t>
      </w:r>
      <w:r>
        <w:t xml:space="preserve"> </w:t>
      </w:r>
      <w:r>
        <w:t xml:space="preserve">Implement idempotent incident keys</w:t>
      </w:r>
      <w:r>
        <w:t xml:space="preserve"> </w:t>
      </w:r>
      <w:r>
        <w:rPr>
          <w:rStyle w:val="VerbatimChar"/>
        </w:rPr>
        <w:t xml:space="preserve">(incident_type, attempt_id, unresolved_generation)</w:t>
      </w:r>
      <w:r>
        <w:t xml:space="preserve"> </w:t>
      </w:r>
      <w:r>
        <w:t xml:space="preserve">to avoid duplicate escalations.</w:t>
      </w:r>
      <w:r>
        <w:br/>
      </w:r>
      <w:r>
        <w:rPr>
          <w:b/>
          <w:bCs/>
        </w:rPr>
        <w:t xml:space="preserve">DESIGN-20:</w:t>
      </w:r>
      <w:r>
        <w:t xml:space="preserve"> </w:t>
      </w:r>
      <w:r>
        <w:t xml:space="preserve">A Planner recovery decision enumerates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ASK_HUMAN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CORRECT_WITH_NEW_ASSIGNMENT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; none implies automatic direct Worker resend.</w:t>
      </w:r>
      <w:r>
        <w:br/>
      </w:r>
      <w:r>
        <w:rPr>
          <w:b/>
          <w:bCs/>
        </w:rPr>
        <w:t xml:space="preserve">DESIGN-21:</w:t>
      </w:r>
      <w:r>
        <w:t xml:space="preserve"> </w:t>
      </w:r>
      <w:r>
        <w:t xml:space="preserve">Retain the original attempted payload and provider evidence immutable; corrections create a new authorized Assignment or Attempt with causal reference.</w:t>
      </w:r>
    </w:p>
    <w:bookmarkEnd w:id="23"/>
    <w:bookmarkStart w:id="24" w:name="Xc1f75ce82a8c2c99b7dc5d6d2400fd72aee0811"/>
    <w:p>
      <w:pPr>
        <w:pStyle w:val="Heading2"/>
      </w:pPr>
      <w:r>
        <w:t xml:space="preserve">5. Runbook: uncertain dispatch</w:t>
      </w:r>
    </w:p>
    <w:p>
      <w:pPr>
        <w:pStyle w:val="Compact"/>
        <w:numPr>
          <w:ilvl w:val="0"/>
          <w:numId w:val="1002"/>
        </w:numPr>
      </w:pPr>
      <w:r>
        <w:t xml:space="preserve">Freeze new dispatch for affected pair and persist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with original dispatch key.</w:t>
      </w:r>
    </w:p>
    <w:p>
      <w:pPr>
        <w:pStyle w:val="Compact"/>
        <w:numPr>
          <w:ilvl w:val="0"/>
          <w:numId w:val="1002"/>
        </w:numPr>
      </w:pPr>
      <w:r>
        <w:t xml:space="preserve">Inspect exact Worker session and provider messages/events around pre-send boundary.</w:t>
      </w:r>
    </w:p>
    <w:p>
      <w:pPr>
        <w:pStyle w:val="Compact"/>
        <w:numPr>
          <w:ilvl w:val="0"/>
          <w:numId w:val="1002"/>
        </w:numPr>
      </w:pPr>
      <w:r>
        <w:t xml:space="preserve">If unique authoritative sent message is proven, attach provider ID and continue</w:t>
      </w:r>
      <w:r>
        <w:t xml:space="preserve"> </w:t>
      </w:r>
      <w:r>
        <w:rPr>
          <w:b/>
          <w:bCs/>
        </w:rPr>
        <w:t xml:space="preserve">observation</w:t>
      </w:r>
      <w:r>
        <w:t xml:space="preserve">, not resend.</w:t>
      </w:r>
    </w:p>
    <w:p>
      <w:pPr>
        <w:pStyle w:val="Compact"/>
        <w:numPr>
          <w:ilvl w:val="0"/>
          <w:numId w:val="1002"/>
        </w:numPr>
      </w:pPr>
      <w:r>
        <w:t xml:space="preserve">If zero or multiple matches or incomplete history, stay blocked and create an incident packet.</w:t>
      </w:r>
    </w:p>
    <w:p>
      <w:pPr>
        <w:pStyle w:val="Compact"/>
        <w:numPr>
          <w:ilvl w:val="0"/>
          <w:numId w:val="1002"/>
        </w:numPr>
      </w:pPr>
      <w:r>
        <w:t xml:space="preserve">Send packet to Planner; Planner chooses safe next direction and any human approval required.</w:t>
      </w:r>
    </w:p>
    <w:p>
      <w:pPr>
        <w:pStyle w:val="Compact"/>
        <w:numPr>
          <w:ilvl w:val="0"/>
          <w:numId w:val="1002"/>
        </w:numPr>
      </w:pPr>
      <w:r>
        <w:t xml:space="preserve">Engine executes only the newly authorized, policy-compliant action.</w:t>
      </w:r>
    </w:p>
    <w:bookmarkEnd w:id="24"/>
    <w:bookmarkStart w:id="25" w:name="X5bb48605d56082f1ae3d54af288458e9afbc5df"/>
    <w:p>
      <w:pPr>
        <w:pStyle w:val="Heading2"/>
      </w:pPr>
      <w:r>
        <w:t xml:space="preserve">6. Runbook: unusable Worker delivery</w:t>
      </w:r>
    </w:p>
    <w:p>
      <w:pPr>
        <w:pStyle w:val="Compact"/>
        <w:numPr>
          <w:ilvl w:val="0"/>
          <w:numId w:val="1003"/>
        </w:numPr>
      </w:pPr>
      <w:r>
        <w:t xml:space="preserve">Confirm expected completion contract, extract report, tests, files, tool activity.</w:t>
      </w:r>
    </w:p>
    <w:p>
      <w:pPr>
        <w:pStyle w:val="Compact"/>
        <w:numPr>
          <w:ilvl w:val="0"/>
          <w:numId w:val="1003"/>
        </w:numPr>
      </w:pPr>
      <w:r>
        <w:t xml:space="preserve">Describe missing parts explicitly; mark report as unusable, not 'no activity'.</w:t>
      </w:r>
    </w:p>
    <w:p>
      <w:pPr>
        <w:pStyle w:val="Compact"/>
        <w:numPr>
          <w:ilvl w:val="0"/>
          <w:numId w:val="1003"/>
        </w:numPr>
      </w:pPr>
      <w:r>
        <w:t xml:space="preserve">Transfer control to Planner with findings and previously approved goal.</w:t>
      </w:r>
    </w:p>
    <w:p>
      <w:pPr>
        <w:pStyle w:val="Compact"/>
        <w:numPr>
          <w:ilvl w:val="0"/>
          <w:numId w:val="1003"/>
        </w:numPr>
      </w:pPr>
      <w:r>
        <w:t xml:space="preserve">Planner decides whether a narrowed correction, a different free model, a split task, or cancellation is appropriate.</w:t>
      </w:r>
    </w:p>
    <w:p>
      <w:pPr>
        <w:pStyle w:val="Compact"/>
        <w:numPr>
          <w:ilvl w:val="0"/>
          <w:numId w:val="1003"/>
        </w:numPr>
      </w:pPr>
      <w:r>
        <w:t xml:space="preserve">Engine checks budget/model/locks and creates a fresh traceable assignment if authorized.</w:t>
      </w:r>
    </w:p>
    <w:bookmarkEnd w:id="25"/>
    <w:bookmarkStart w:id="26" w:name="X0ea6e13c086df4b2d55882eb1855484f0b6504e"/>
    <w:p>
      <w:pPr>
        <w:pStyle w:val="Heading2"/>
      </w:pPr>
      <w:r>
        <w:t xml:space="preserve">7. Pause, stop, restart</w:t>
      </w:r>
    </w:p>
    <w:p>
      <w:pPr>
        <w:pStyle w:val="FirstParagraph"/>
      </w:pPr>
      <w:r>
        <w:rPr>
          <w:b/>
          <w:bCs/>
        </w:rPr>
        <w:t xml:space="preserve">PAUSE:</w:t>
      </w:r>
      <w:r>
        <w:t xml:space="preserve"> </w:t>
      </w:r>
      <w:r>
        <w:t xml:space="preserve">prevent new sends; active execution may continue unless a separately supported pause/abort is requested. UI must display the distinction between 'no new dispatch' and 'actively suspended process'.</w:t>
      </w:r>
      <w:r>
        <w:t xml:space="preserve"> </w:t>
      </w:r>
      <w:r>
        <w:rPr>
          <w:b/>
          <w:bCs/>
        </w:rPr>
        <w:t xml:space="preserve">STOP:</w:t>
      </w:r>
      <w:r>
        <w:t xml:space="preserve"> </w:t>
      </w:r>
      <w:r>
        <w:t xml:space="preserve">persist durable state, stop scheduling, do not delete attempts.</w:t>
      </w:r>
      <w:r>
        <w:t xml:space="preserve"> </w:t>
      </w:r>
      <w:r>
        <w:rPr>
          <w:b/>
          <w:bCs/>
        </w:rPr>
        <w:t xml:space="preserve">RESTART:</w:t>
      </w:r>
      <w:r>
        <w:t xml:space="preserve"> </w:t>
      </w:r>
      <w:r>
        <w:t xml:space="preserve">initialize DB, inspect provider server/session, reconcile all open attempts and delivery boundaries, validate model eligibility and policy, then resume only permitted work. Never infer a stale session title means a new session.</w:t>
      </w:r>
    </w:p>
    <w:bookmarkEnd w:id="26"/>
    <w:bookmarkStart w:id="27" w:name="Xb9c30b65571903faead8b431f2b9367e7a93470"/>
    <w:p>
      <w:pPr>
        <w:pStyle w:val="Heading2"/>
      </w:pPr>
      <w:r>
        <w:t xml:space="preserve">8. Recovery tests</w:t>
      </w:r>
    </w:p>
    <w:p>
      <w:pPr>
        <w:pStyle w:val="FirstParagraph"/>
      </w:pPr>
      <w:r>
        <w:rPr>
          <w:b/>
          <w:bCs/>
        </w:rPr>
        <w:t xml:space="preserve">REC-01</w:t>
      </w:r>
      <w:r>
        <w:t xml:space="preserve"> </w:t>
      </w:r>
      <w:r>
        <w:t xml:space="preserve">ambiguous ACK never blind-resends;</w:t>
      </w:r>
      <w:r>
        <w:t xml:space="preserve"> </w:t>
      </w:r>
      <w:r>
        <w:rPr>
          <w:b/>
          <w:bCs/>
        </w:rPr>
        <w:t xml:space="preserve">REC-02</w:t>
      </w:r>
      <w:r>
        <w:t xml:space="preserve"> </w:t>
      </w:r>
      <w:r>
        <w:t xml:space="preserve">missing report sends Planner evidence packet;</w:t>
      </w:r>
      <w:r>
        <w:t xml:space="preserve"> </w:t>
      </w:r>
      <w:r>
        <w:rPr>
          <w:b/>
          <w:bCs/>
        </w:rPr>
        <w:t xml:space="preserve">REC-03</w:t>
      </w:r>
      <w:r>
        <w:t xml:space="preserve"> </w:t>
      </w:r>
      <w:r>
        <w:t xml:space="preserve">quota exhaustion doesn't call a paid fallback;</w:t>
      </w:r>
      <w:r>
        <w:t xml:space="preserve"> </w:t>
      </w:r>
      <w:r>
        <w:rPr>
          <w:b/>
          <w:bCs/>
        </w:rPr>
        <w:t xml:space="preserve">REC-04</w:t>
      </w:r>
      <w:r>
        <w:t xml:space="preserve"> </w:t>
      </w:r>
      <w:r>
        <w:t xml:space="preserve">duplicate event doesn't spawn duplicate incident;</w:t>
      </w:r>
      <w:r>
        <w:t xml:space="preserve"> </w:t>
      </w:r>
      <w:r>
        <w:rPr>
          <w:b/>
          <w:bCs/>
        </w:rPr>
        <w:t xml:space="preserve">REC-05</w:t>
      </w:r>
      <w:r>
        <w:t xml:space="preserve"> </w:t>
      </w:r>
      <w:r>
        <w:t xml:space="preserve">persisted incident survives app crash;</w:t>
      </w:r>
      <w:r>
        <w:t xml:space="preserve"> </w:t>
      </w:r>
      <w:r>
        <w:rPr>
          <w:b/>
          <w:bCs/>
        </w:rPr>
        <w:t xml:space="preserve">REC-06</w:t>
      </w:r>
      <w:r>
        <w:t xml:space="preserve"> </w:t>
      </w:r>
      <w:r>
        <w:t xml:space="preserve">question isn't marked completed;</w:t>
      </w:r>
      <w:r>
        <w:t xml:space="preserve"> </w:t>
      </w:r>
      <w:r>
        <w:rPr>
          <w:b/>
          <w:bCs/>
        </w:rPr>
        <w:t xml:space="preserve">REC-07</w:t>
      </w:r>
      <w:r>
        <w:t xml:space="preserve"> </w:t>
      </w:r>
      <w:r>
        <w:t xml:space="preserve">stop prevents next task;</w:t>
      </w:r>
      <w:r>
        <w:t xml:space="preserve"> </w:t>
      </w:r>
      <w:r>
        <w:rPr>
          <w:b/>
          <w:bCs/>
        </w:rPr>
        <w:t xml:space="preserve">REC-08</w:t>
      </w:r>
      <w:r>
        <w:t xml:space="preserve"> </w:t>
      </w:r>
      <w:r>
        <w:t xml:space="preserve">changed Worker name doesn't rebind wrong session;</w:t>
      </w:r>
      <w:r>
        <w:t xml:space="preserve"> </w:t>
      </w:r>
      <w:r>
        <w:rPr>
          <w:b/>
          <w:bCs/>
        </w:rPr>
        <w:t xml:space="preserve">REC-09</w:t>
      </w:r>
      <w:r>
        <w:t xml:space="preserve"> </w:t>
      </w:r>
      <w:r>
        <w:t xml:space="preserve">failure recovery instruction originates with Planner and is policy-gated.</w:t>
      </w:r>
    </w:p>
    <w:bookmarkEnd w:id="27"/>
    <w:bookmarkEnd w:id="28"/>
    <w:sectPr w:rsidR="00FC693F" w:rsidRPr="0006063C" w:rsidSect="00034616">
      <w:footerReference r:id="rId9" w:type="default"/>
      <w:pgSz w:h="15840" w:w="12240"/>
      <w:pgMar w:bottom="922" w:footer="720" w:gutter="0" w:header="720" w:left="1094" w:right="1094" w:top="9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1"/>
        <w:sz w:val="14"/>
      </w:rPr>
      <w:t>RelayX • AI Orchestration Subordinate Specification v0.1 • Design proposal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56" w:line="254" w:lineRule="auto"/>
    </w:pPr>
    <w:rPr>
      <w:rFonts w:ascii="Aptos" w:hAnsi="Aptos"/>
      <w:color w:val="283946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A486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 Display" w:asciiTheme="majorHAnsi" w:cstheme="majorBidi" w:eastAsiaTheme="majorEastAsia" w:hAnsi="Aptos Display" w:hAnsiTheme="majorHAnsi"/>
      <w:i/>
      <w:iCs/>
      <w:color w:val="1A486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56" w:line="254" w:lineRule="auto"/>
    </w:pPr>
    <w:rPr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pacing w:after="56" w:line="254" w:lineRule="auto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2026-10-08T03:50:22Z</dcterms:created>
  <dcterms:modified xsi:type="dcterms:W3CDTF">2026-10-08T03:50:22Z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