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a023025a1fc5fdd9f44e0ebd00568d23cae6591"/>
    <w:p>
      <w:pPr>
        <w:pStyle w:val="Heading1"/>
      </w:pPr>
      <w:r>
        <w:t xml:space="preserve">RX-08 — Data Contracts, Security &amp; Auditability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0.1 ·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Proposed persistence and interfaces ·</w:t>
      </w:r>
      <w:r>
        <w:t xml:space="preserve"> </w:t>
      </w:r>
      <w:r>
        <w:rPr>
          <w:b/>
          <w:bCs/>
        </w:rPr>
        <w:t xml:space="preserve">Parent:</w:t>
      </w:r>
      <w:r>
        <w:t xml:space="preserve"> </w:t>
      </w:r>
      <w:r>
        <w:t xml:space="preserve">Architecture v0.1 §10 ·</w:t>
      </w:r>
      <w:r>
        <w:t xml:space="preserve"> </w:t>
      </w:r>
      <w:r>
        <w:rPr>
          <w:b/>
          <w:bCs/>
        </w:rPr>
        <w:t xml:space="preserve">Diagrams:</w:t>
      </w:r>
      <w:r>
        <w:t xml:space="preserve"> </w:t>
      </w:r>
      <w:r>
        <w:t xml:space="preserve">D05, D10</w:t>
      </w:r>
    </w:p>
    <w:bookmarkStart w:id="20" w:name="X80847ce03536469c0bfce84ecd86803641465e3"/>
    <w:p>
      <w:pPr>
        <w:pStyle w:val="Heading2"/>
      </w:pPr>
      <w:r>
        <w:t xml:space="preserve">1. One authoritative state machine</w:t>
      </w:r>
    </w:p>
    <w:p>
      <w:pPr>
        <w:pStyle w:val="FirstParagraph"/>
      </w:pPr>
      <w:r>
        <w:t xml:space="preserve">Current RelayX already contains Project/Pair/Assignment/Attempt/Delivery state. Reuse those records or migrate deliberately after inspecting actual schema, indexes, transactions, and resume logic.</w:t>
      </w:r>
      <w:r>
        <w:t xml:space="preserve"> </w:t>
      </w:r>
      <w:r>
        <w:rPr>
          <w:b/>
          <w:bCs/>
        </w:rPr>
        <w:t xml:space="preserve">Do not implement a separate AI task ledger that competes with Engine state.</w:t>
      </w:r>
      <w:r>
        <w:t xml:space="preserve"> </w:t>
      </w:r>
      <w:r>
        <w:t xml:space="preserve">New model intelligence, decisions, quotas and policy entities should reference existing durable IDs.</w:t>
      </w:r>
    </w:p>
    <w:p>
      <w:pPr>
        <w:pStyle w:val="BodyText"/>
      </w:pPr>
      <w:r>
        <w:rPr>
          <w:b/>
          <w:bCs/>
        </w:rPr>
        <w:t xml:space="preserve">REQ-28:</w:t>
      </w:r>
      <w:r>
        <w:t xml:space="preserve"> </w:t>
      </w:r>
      <w:r>
        <w:t xml:space="preserve">Mutations are idempotent, actor-attributed and auditable.</w:t>
      </w:r>
      <w:r>
        <w:br/>
      </w:r>
      <w:r>
        <w:rPr>
          <w:b/>
          <w:bCs/>
        </w:rPr>
        <w:t xml:space="preserve">REQ-29:</w:t>
      </w:r>
      <w:r>
        <w:t xml:space="preserve"> </w:t>
      </w:r>
      <w:r>
        <w:t xml:space="preserve">Every external event is correlated to exact session/provider identity and attempt.</w:t>
      </w:r>
      <w:r>
        <w:br/>
      </w:r>
      <w:r>
        <w:rPr>
          <w:b/>
          <w:bCs/>
        </w:rPr>
        <w:t xml:space="preserve">REQ-30:</w:t>
      </w:r>
      <w:r>
        <w:t xml:space="preserve"> </w:t>
      </w:r>
      <w:r>
        <w:t xml:space="preserve">Credentials never appear in model prompts, benchmark fixture snapshots, user-visible reports or stored tool transcripts.</w:t>
      </w:r>
      <w:r>
        <w:br/>
      </w:r>
      <w:r>
        <w:rPr>
          <w:b/>
          <w:bCs/>
        </w:rPr>
        <w:t xml:space="preserve">REQ-31:</w:t>
      </w:r>
      <w:r>
        <w:t xml:space="preserve"> </w:t>
      </w:r>
      <w:r>
        <w:t xml:space="preserve">On startup, outstanding Delivery/Attempt intents reconcile before new scheduling.</w:t>
      </w:r>
    </w:p>
    <w:bookmarkEnd w:id="20"/>
    <w:bookmarkStart w:id="21" w:name="X6af69183794fd0ecfd5aed176606f80ddf9a99e"/>
    <w:p>
      <w:pPr>
        <w:pStyle w:val="Heading2"/>
      </w:pPr>
      <w:r>
        <w:t xml:space="preserve">2. Core entities, conceptual fields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Essential fields / invariant:</w:t>
      </w:r>
      <w:r>
        <w:t xml:space="preserve"> </w:t>
      </w:r>
      <w:r>
        <w:rPr>
          <w:rStyle w:val="VerbatimChar"/>
        </w:rPr>
        <w:t xml:space="preserve">id</w:t>
      </w:r>
      <w:r>
        <w:t xml:space="preserve">, repository binding, owner, mode, policy_version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Pair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Essential fields / invariant:</w:t>
      </w:r>
      <w:r>
        <w:t xml:space="preserve"> </w:t>
      </w:r>
      <w:r>
        <w:rPr>
          <w:rStyle w:val="VerbatimChar"/>
        </w:rPr>
        <w:t xml:space="preserve">id</w:t>
      </w:r>
      <w:r>
        <w:t xml:space="preserve">, Planner thread ID, Worker exact session ID, transport, lifecycle state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Task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Essential fields / invariant:</w:t>
      </w:r>
      <w:r>
        <w:t xml:space="preserve"> </w:t>
      </w:r>
      <w:r>
        <w:rPr>
          <w:rStyle w:val="VerbatimChar"/>
        </w:rPr>
        <w:t xml:space="preserve">id</w:t>
      </w:r>
      <w:r>
        <w:t xml:space="preserve">, milestone, priority, dependency version, acceptance, state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Assignment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Essential fields / invariant:</w:t>
      </w:r>
      <w:r>
        <w:t xml:space="preserve"> </w:t>
      </w:r>
      <w:r>
        <w:rPr>
          <w:rStyle w:val="VerbatimChar"/>
        </w:rPr>
        <w:t xml:space="preserve">id</w:t>
      </w:r>
      <w:r>
        <w:t xml:space="preserve">, task, Planner decision ID, scope, payload_hash, dispatch_key UNIQUE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Attempt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Essential fields / invariant:</w:t>
      </w:r>
      <w:r>
        <w:t xml:space="preserve"> </w:t>
      </w:r>
      <w:r>
        <w:rPr>
          <w:rStyle w:val="VerbatimChar"/>
        </w:rPr>
        <w:t xml:space="preserve">id</w:t>
      </w:r>
      <w:r>
        <w:t xml:space="preserve">, assignment, chosen exact model route, Worker run/session, status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Delivery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Essential fields / invariant:</w:t>
      </w:r>
      <w:r>
        <w:t xml:space="preserve"> </w:t>
      </w:r>
      <w:r>
        <w:rPr>
          <w:rStyle w:val="VerbatimChar"/>
        </w:rPr>
        <w:t xml:space="preserve">id</w:t>
      </w:r>
      <w:r>
        <w:t xml:space="preserve">, attempt, direction, provider message ID, evidence state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Evidence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Essential fields / invariant:</w:t>
      </w:r>
      <w:r>
        <w:t xml:space="preserve"> </w:t>
      </w:r>
      <w:r>
        <w:t xml:space="preserve">immutable digest, type, attempt, locator, parser version, redaction status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PolicyDecision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Essential fields / invariant:</w:t>
      </w:r>
      <w:r>
        <w:t xml:space="preserve"> </w:t>
      </w:r>
      <w:r>
        <w:t xml:space="preserve">actor, action, resource, effective policy digest, verdict and reason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ModelRoute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Essential fields / invariant:</w:t>
      </w:r>
      <w:r>
        <w:t xml:space="preserve"> </w:t>
      </w:r>
      <w:r>
        <w:t xml:space="preserve">provider, endpoint, model ID, account reference, config fingerprint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Eligibility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Essential fields / invariant:</w:t>
      </w:r>
      <w:r>
        <w:t xml:space="preserve"> </w:t>
      </w:r>
      <w:r>
        <w:t xml:space="preserve">route, account, mode, verdict, evidence hash, verified/expiry times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EvaluationRun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Essential fields / invariant:</w:t>
      </w:r>
      <w:r>
        <w:t xml:space="preserve"> </w:t>
      </w:r>
      <w:r>
        <w:t xml:space="preserve">route, task fixture version, results, success checks, runtime metrics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RecoveryDecision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Essential fields / invariant:</w:t>
      </w:r>
      <w:r>
        <w:t xml:space="preserve"> </w:t>
      </w:r>
      <w:r>
        <w:t xml:space="preserve">incident, Planner conversation, decision class, authorization and reason</w:t>
      </w:r>
    </w:p>
    <w:p>
      <w:pPr>
        <w:pStyle w:val="FirstParagraph"/>
      </w:pPr>
      <w:r>
        <w:t xml:space="preserve">Suggested additions are conceptual—not drop-in SQL migrations. Define explicit foreign keys, unique provider message constraints scoped to provider/session, indexes for</w:t>
      </w:r>
      <w:r>
        <w:t xml:space="preserve"> </w:t>
      </w:r>
      <w:r>
        <w:rPr>
          <w:rStyle w:val="VerbatimChar"/>
        </w:rPr>
        <w:t xml:space="preserve">(project,state,priority)</w:t>
      </w:r>
      <w:r>
        <w:t xml:space="preserve">, and optimistic version fields for mutable aggregates.</w:t>
      </w:r>
    </w:p>
    <w:bookmarkEnd w:id="21"/>
    <w:bookmarkStart w:id="22" w:name="X7fa69486d1da98486c58b1fa0f8b3af886a8ddc"/>
    <w:p>
      <w:pPr>
        <w:pStyle w:val="Heading2"/>
      </w:pPr>
      <w:r>
        <w:t xml:space="preserve">3. Command and event contracts</w:t>
      </w:r>
    </w:p>
    <w:p>
      <w:pPr>
        <w:pStyle w:val="SourceCode"/>
      </w:pPr>
      <w:r>
        <w:rPr>
          <w:rStyle w:val="VerbatimChar"/>
        </w:rPr>
        <w:t xml:space="preserve">CreateTask(project, objective, dependencies, acceptance, actor, request_id)</w:t>
      </w:r>
      <w:r>
        <w:br/>
      </w:r>
      <w:r>
        <w:rPr>
          <w:rStyle w:val="VerbatimChar"/>
        </w:rPr>
        <w:t xml:space="preserve">Authorize(action, target, actor, policy_version) -&gt; verdict + reason</w:t>
      </w:r>
      <w:r>
        <w:br/>
      </w:r>
      <w:r>
        <w:rPr>
          <w:rStyle w:val="VerbatimChar"/>
        </w:rPr>
        <w:t xml:space="preserve">ClaimAssignment(task, exact_worker_session, model_route, request_id) -&gt; claim</w:t>
      </w:r>
      <w:r>
        <w:br/>
      </w:r>
      <w:r>
        <w:rPr>
          <w:rStyle w:val="VerbatimChar"/>
        </w:rPr>
        <w:t xml:space="preserve">Dispatch(assignment, attempt, exact_session) -&gt; send observation</w:t>
      </w:r>
      <w:r>
        <w:br/>
      </w:r>
      <w:r>
        <w:rPr>
          <w:rStyle w:val="VerbatimChar"/>
        </w:rPr>
        <w:t xml:space="preserve">RecordProviderEvent(provider_event, session, run, attempt) -&gt; deduped observation</w:t>
      </w:r>
      <w:r>
        <w:br/>
      </w:r>
      <w:r>
        <w:rPr>
          <w:rStyle w:val="VerbatimChar"/>
        </w:rPr>
        <w:t xml:space="preserve">RecordEvidence(attempt, digest, type, source) -&gt; immutable reference</w:t>
      </w:r>
      <w:r>
        <w:br/>
      </w:r>
      <w:r>
        <w:rPr>
          <w:rStyle w:val="VerbatimChar"/>
        </w:rPr>
        <w:t xml:space="preserve">PlannerReview(task, evidence_bundle) -&gt; ACCEPT | CORRECT | REPLAN | ESCALATE</w:t>
      </w:r>
      <w:r>
        <w:br/>
      </w:r>
      <w:r>
        <w:rPr>
          <w:rStyle w:val="VerbatimChar"/>
        </w:rPr>
        <w:t xml:space="preserve">RecoverIncident(incident, planner_decision) -&gt; policy-gated next action</w:t>
      </w:r>
    </w:p>
    <w:p>
      <w:pPr>
        <w:pStyle w:val="FirstParagraph"/>
      </w:pPr>
      <w:r>
        <w:t xml:space="preserve">Every mutation has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 </w:t>
      </w:r>
      <w:r>
        <w:t xml:space="preserve">and actor provenance, expected version/transaction guard, durable event record, and input validation. Split DB transaction from outbound provider HTTP request; use a persisted outbox/send-intent that can reconcile an uncertain reply. Never silently mark</w:t>
      </w:r>
      <w:r>
        <w:t xml:space="preserve"> </w:t>
      </w:r>
      <w:r>
        <w:rPr>
          <w:rStyle w:val="VerbatimChar"/>
        </w:rPr>
        <w:t xml:space="preserve">delivered</w:t>
      </w:r>
      <w:r>
        <w:t xml:space="preserve"> </w:t>
      </w:r>
      <w:r>
        <w:t xml:space="preserve">because an HTTP promise resolved.</w:t>
      </w:r>
    </w:p>
    <w:bookmarkEnd w:id="22"/>
    <w:bookmarkStart w:id="23" w:name="X30ef5ccc2dd57a589536bff7c1c1f56bb85622c"/>
    <w:p>
      <w:pPr>
        <w:pStyle w:val="Heading2"/>
      </w:pPr>
      <w:r>
        <w:t xml:space="preserve">4. Event taxonomy</w:t>
      </w:r>
    </w:p>
    <w:p>
      <w:pPr>
        <w:pStyle w:val="FirstParagraph"/>
      </w:pPr>
      <w:r>
        <w:t xml:space="preserve">Use stable event types such as</w:t>
      </w:r>
      <w:r>
        <w:t xml:space="preserve"> </w:t>
      </w:r>
      <w:r>
        <w:rPr>
          <w:rStyle w:val="VerbatimChar"/>
        </w:rPr>
        <w:t xml:space="preserve">TASK_PLANNED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TASK_READY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ASSIGNMENT_CLAIMED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DELIVERY_INTENT_RECORDED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PROVIDER_SEND_ACK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DELIVERY_CONFIRMED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WORKER_QUESTION_OPEN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WORKER_QUESTION_ANSWERED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WORKER_RESULT_OBSERVED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VERIFICATION_FAILED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PLANNER_REVIEW_ACCEPTED</w:t>
      </w:r>
      <w:r>
        <w:t xml:space="preserve">,</w:t>
      </w:r>
      <w:r>
        <w:t xml:space="preserve"> </w:t>
      </w:r>
      <w:r>
        <w:rPr>
          <w:rStyle w:val="VerbatimChar"/>
        </w:rPr>
        <w:t xml:space="preserve">INCIDENT_OPENED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RECOVERY_DECISION_RECORDED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POLICY_DENIED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MODEL_ELIGIBILITY_EXPIRED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PAIR_PAUSED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PAIR_STOPPED</w:t>
      </w:r>
      <w:r>
        <w:t xml:space="preserve">. Store severity, event time, origin source, correlation, project/pair/task/attempt references and sanitized details.</w:t>
      </w:r>
    </w:p>
    <w:bookmarkEnd w:id="23"/>
    <w:bookmarkStart w:id="24" w:name="Xf6f5713ce6b855ecdd9f0369e5060f9196f2e80"/>
    <w:p>
      <w:pPr>
        <w:pStyle w:val="Heading2"/>
      </w:pPr>
      <w:r>
        <w:t xml:space="preserve">5. Security boundaries</w:t>
      </w:r>
    </w:p>
    <w:p>
      <w:pPr>
        <w:pStyle w:val="FirstParagraph"/>
      </w:pPr>
      <w:r>
        <w:t xml:space="preserve">Treat generated plans, repository content, benchmark prompts, tool output, fetched provider metadata and webpage content as untrusted inputs. Enforce scoped tool APIs, path canonicalization, symlink and traversal restrictions, process sandbox/OS permissions, secret redaction, approved network egress, and validation of model-produced structured output. Separate</w:t>
      </w:r>
      <w:r>
        <w:t xml:space="preserve"> </w:t>
      </w:r>
      <w:r>
        <w:rPr>
          <w:b/>
          <w:bCs/>
        </w:rPr>
        <w:t xml:space="preserve">read-only metadata APIs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mutating permissions</w:t>
      </w:r>
      <w:r>
        <w:t xml:space="preserve">. Provider credentials reside in OS-secure store and are referenced by opaque IDs.</w:t>
      </w:r>
    </w:p>
    <w:p>
      <w:pPr>
        <w:pStyle w:val="BodyText"/>
      </w:pPr>
      <w:r>
        <w:rPr>
          <w:b/>
          <w:bCs/>
        </w:rPr>
        <w:t xml:space="preserve">DESIGN-22:</w:t>
      </w:r>
      <w:r>
        <w:t xml:space="preserve"> </w:t>
      </w:r>
      <w:r>
        <w:t xml:space="preserve">Large artifacts use content-addressed hashes and controlled file locations.</w:t>
      </w:r>
      <w:r>
        <w:br/>
      </w:r>
      <w:r>
        <w:rPr>
          <w:b/>
          <w:bCs/>
        </w:rPr>
        <w:t xml:space="preserve">DESIGN-23:</w:t>
      </w:r>
      <w:r>
        <w:t xml:space="preserve"> </w:t>
      </w:r>
      <w:r>
        <w:t xml:space="preserve">Sensitive audit fields have explicit retention and masking rules.</w:t>
      </w:r>
      <w:r>
        <w:br/>
      </w:r>
      <w:r>
        <w:rPr>
          <w:b/>
          <w:bCs/>
        </w:rPr>
        <w:t xml:space="preserve">DESIGN-24:</w:t>
      </w:r>
      <w:r>
        <w:t xml:space="preserve"> </w:t>
      </w:r>
      <w:r>
        <w:t xml:space="preserve">Use schema migrations with rollback/backups; test upgrades from representative previous RelayX DB versions rather than assuming an empty database.</w:t>
      </w:r>
    </w:p>
    <w:bookmarkEnd w:id="24"/>
    <w:bookmarkStart w:id="25" w:name="X8755d1e331877af87e062d0187e875dd3588864"/>
    <w:p>
      <w:pPr>
        <w:pStyle w:val="Heading2"/>
      </w:pPr>
      <w:r>
        <w:t xml:space="preserve">6. Audit and replay questions</w:t>
      </w:r>
    </w:p>
    <w:p>
      <w:pPr>
        <w:pStyle w:val="FirstParagraph"/>
      </w:pPr>
      <w:r>
        <w:t xml:space="preserve">A forensic review must answer: Who asked for the goal? Which Planner decision created the Assignment? Which policy and model eligibility allowed dispatch? What exact message was sent? What server/session/run accepted it? Which code/test artifacts were returned? Was a free quota consumed or a charge incurred? Why did the task advance, block or recover? The event log should answer without trusting AI summary prose.</w:t>
      </w:r>
    </w:p>
    <w:bookmarkEnd w:id="25"/>
    <w:bookmarkStart w:id="26" w:name="X859462dc2acfb269ccb87d47946e283040f1675"/>
    <w:p>
      <w:pPr>
        <w:pStyle w:val="Heading2"/>
      </w:pPr>
      <w:r>
        <w:t xml:space="preserve">7. Tests and open schema mapping</w:t>
      </w:r>
    </w:p>
    <w:p>
      <w:pPr>
        <w:pStyle w:val="FirstParagraph"/>
      </w:pPr>
      <w:r>
        <w:rPr>
          <w:b/>
          <w:bCs/>
        </w:rPr>
        <w:t xml:space="preserve">DATA-01</w:t>
      </w:r>
      <w:r>
        <w:t xml:space="preserve"> </w:t>
      </w:r>
      <w:r>
        <w:t xml:space="preserve">duplicate provider event no-op;</w:t>
      </w:r>
      <w:r>
        <w:t xml:space="preserve"> </w:t>
      </w:r>
      <w:r>
        <w:rPr>
          <w:b/>
          <w:bCs/>
        </w:rPr>
        <w:t xml:space="preserve">DATA-02</w:t>
      </w:r>
      <w:r>
        <w:t xml:space="preserve"> </w:t>
      </w:r>
      <w:r>
        <w:t xml:space="preserve">duplicate dispatch key cannot create second live send intent;</w:t>
      </w:r>
      <w:r>
        <w:t xml:space="preserve"> </w:t>
      </w:r>
      <w:r>
        <w:rPr>
          <w:b/>
          <w:bCs/>
        </w:rPr>
        <w:t xml:space="preserve">DATA-03</w:t>
      </w:r>
      <w:r>
        <w:t xml:space="preserve"> </w:t>
      </w:r>
      <w:r>
        <w:t xml:space="preserve">wrong session ID events rejected or quarantined;</w:t>
      </w:r>
      <w:r>
        <w:t xml:space="preserve"> </w:t>
      </w:r>
      <w:r>
        <w:rPr>
          <w:b/>
          <w:bCs/>
        </w:rPr>
        <w:t xml:space="preserve">DATA-04</w:t>
      </w:r>
      <w:r>
        <w:t xml:space="preserve"> </w:t>
      </w:r>
      <w:r>
        <w:t xml:space="preserve">stale optimistic version prevents lost updates;</w:t>
      </w:r>
      <w:r>
        <w:t xml:space="preserve"> </w:t>
      </w:r>
      <w:r>
        <w:rPr>
          <w:b/>
          <w:bCs/>
        </w:rPr>
        <w:t xml:space="preserve">DATA-05</w:t>
      </w:r>
      <w:r>
        <w:t xml:space="preserve"> </w:t>
      </w:r>
      <w:r>
        <w:t xml:space="preserve">no plaintext credentials in export;</w:t>
      </w:r>
      <w:r>
        <w:t xml:space="preserve"> </w:t>
      </w:r>
      <w:r>
        <w:rPr>
          <w:b/>
          <w:bCs/>
        </w:rPr>
        <w:t xml:space="preserve">DATA-06</w:t>
      </w:r>
      <w:r>
        <w:t xml:space="preserve"> </w:t>
      </w:r>
      <w:r>
        <w:t xml:space="preserve">pre-v0.1 DB migration preserves legacy pairs;</w:t>
      </w:r>
      <w:r>
        <w:t xml:space="preserve"> </w:t>
      </w:r>
      <w:r>
        <w:rPr>
          <w:b/>
          <w:bCs/>
        </w:rPr>
        <w:t xml:space="preserve">DATA-07</w:t>
      </w:r>
      <w:r>
        <w:t xml:space="preserve"> </w:t>
      </w:r>
      <w:r>
        <w:t xml:space="preserve">replay produces same state;</w:t>
      </w:r>
      <w:r>
        <w:t xml:space="preserve"> </w:t>
      </w:r>
      <w:r>
        <w:rPr>
          <w:b/>
          <w:bCs/>
        </w:rPr>
        <w:t xml:space="preserve">DATA-08</w:t>
      </w:r>
      <w:r>
        <w:t xml:space="preserve"> </w:t>
      </w:r>
      <w:r>
        <w:t xml:space="preserve">crash after send intent leaves recoverable uncertainty.</w:t>
      </w:r>
    </w:p>
    <w:p>
      <w:pPr>
        <w:pStyle w:val="BodyText"/>
      </w:pPr>
      <w:r>
        <w:rPr>
          <w:b/>
          <w:bCs/>
        </w:rPr>
        <w:t xml:space="preserve">OPEN-05:</w:t>
      </w:r>
      <w:r>
        <w:t xml:space="preserve"> </w:t>
      </w:r>
      <w:r>
        <w:t xml:space="preserve">Map these conceptual entities to real current RelayX SQLite tables and IPC contracts during Phase 0 before choosing migrations.</w:t>
      </w:r>
    </w:p>
    <w:bookmarkEnd w:id="26"/>
    <w:bookmarkEnd w:id="27"/>
    <w:sectPr w:rsidR="00FC693F" w:rsidRPr="0006063C" w:rsidSect="00034616">
      <w:footerReference r:id="rId9" w:type="default"/>
      <w:pgSz w:h="15840" w:w="12240"/>
      <w:pgMar w:bottom="922" w:footer="720" w:gutter="0" w:header="720" w:left="1094" w:right="1094" w:top="95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791"/>
        <w:sz w:val="14"/>
      </w:rPr>
      <w:t>RelayX • AI Orchestration Subordinate Specification v0.1 • Design proposal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56" w:line="254" w:lineRule="auto"/>
    </w:pPr>
    <w:rPr>
      <w:rFonts w:ascii="Aptos" w:hAnsi="Aptos"/>
      <w:color w:val="283946"/>
      <w:sz w:val="18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60" w:before="180"/>
      <w:outlineLvl w:val="0"/>
    </w:pPr>
    <w:rPr>
      <w:rFonts w:ascii="Aptos Display" w:asciiTheme="majorHAnsi" w:cstheme="majorBidi" w:eastAsiaTheme="majorEastAsia" w:hAnsi="Aptos Display" w:hAnsiTheme="majorHAnsi"/>
      <w:b/>
      <w:bCs/>
      <w:color w:val="1A486F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80"/>
      <w:outlineLvl w:val="1"/>
    </w:pPr>
    <w:rPr>
      <w:rFonts w:ascii="Aptos Display" w:asciiTheme="majorHAnsi" w:cstheme="majorBidi" w:eastAsiaTheme="majorEastAsia" w:hAnsi="Aptos Display" w:hAnsiTheme="majorHAnsi"/>
      <w:b/>
      <w:bCs/>
      <w:color w:val="1A486F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180"/>
      <w:outlineLvl w:val="2"/>
    </w:pPr>
    <w:rPr>
      <w:rFonts w:ascii="Aptos Display" w:asciiTheme="majorHAnsi" w:cstheme="majorBidi" w:eastAsiaTheme="majorEastAsia" w:hAnsi="Aptos Display" w:hAnsiTheme="majorHAnsi"/>
      <w:b/>
      <w:bCs/>
      <w:color w:val="1A486F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Aptos Display" w:asciiTheme="majorHAnsi" w:cstheme="majorBidi" w:eastAsiaTheme="majorEastAsia" w:hAnsi="Aptos Display" w:hAnsiTheme="majorHAnsi"/>
      <w:color w:val="1A486F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ptos Display" w:asciiTheme="majorHAnsi" w:cstheme="majorBidi" w:eastAsiaTheme="majorEastAsia" w:hAnsi="Aptos Display" w:hAnsiTheme="majorHAnsi"/>
      <w:i/>
      <w:iCs/>
      <w:color w:val="1A486F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56" w:line="254" w:lineRule="auto"/>
    </w:pPr>
    <w:rPr>
      <w:sz w:val="18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  <w:spacing w:after="56" w:line="254" w:lineRule="auto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2026-10-08T03:50:22Z</dcterms:created>
  <dcterms:modified xsi:type="dcterms:W3CDTF">2026-10-08T03:50:22Z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