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商汤科技sensetime企业研究报告"/>
      <w:r>
        <w:t xml:space="preserve">商汤科技（SenseTime）企业研究报告</w:t>
      </w:r>
      <w:bookmarkEnd w:id="20"/>
    </w:p>
    <w:p>
      <w:pPr>
        <w:pStyle w:val="Heading2"/>
      </w:pPr>
      <w:bookmarkStart w:id="21" w:name="关键要点"/>
      <w:r>
        <w:t xml:space="preserve">关键要点</w:t>
      </w:r>
      <w:bookmarkEnd w:id="21"/>
    </w:p>
    <w:p>
      <w:pPr>
        <w:numPr>
          <w:ilvl w:val="0"/>
          <w:numId w:val="1001"/>
        </w:numPr>
        <w:pStyle w:val="Compact"/>
      </w:pPr>
      <w:r>
        <w:rPr>
          <w:b/>
        </w:rPr>
        <w:t xml:space="preserve">技术领先地位</w:t>
      </w:r>
      <w:r>
        <w:t xml:space="preserve">：商汤科技在计算机视觉领域拥有多项核心专利，2023-2024年专利申请量超过1000件，大模型参数规模达万亿级别</w:t>
      </w:r>
    </w:p>
    <w:p>
      <w:pPr>
        <w:numPr>
          <w:ilvl w:val="0"/>
          <w:numId w:val="1001"/>
        </w:numPr>
        <w:pStyle w:val="Compact"/>
      </w:pPr>
      <w:r>
        <w:rPr>
          <w:b/>
        </w:rPr>
        <w:t xml:space="preserve">财务表现改善</w:t>
      </w:r>
      <w:r>
        <w:t xml:space="preserve">：2024年营收同比增长10.75%，亏损收窄至41.41亿（同比改善34%），经营性现金流改善至-4.63亿</w:t>
      </w:r>
    </w:p>
    <w:p>
      <w:pPr>
        <w:numPr>
          <w:ilvl w:val="0"/>
          <w:numId w:val="1001"/>
        </w:numPr>
        <w:pStyle w:val="Compact"/>
      </w:pPr>
      <w:r>
        <w:rPr>
          <w:b/>
        </w:rPr>
        <w:t xml:space="preserve">业务结构转型</w:t>
      </w:r>
      <w:r>
        <w:t xml:space="preserve">：生成式AI业务收入占比达50%，成为主要增长引擎，智能汽车和智慧城市业务分别贡献20%和30%</w:t>
      </w:r>
    </w:p>
    <w:p>
      <w:pPr>
        <w:numPr>
          <w:ilvl w:val="0"/>
          <w:numId w:val="1001"/>
        </w:numPr>
        <w:pStyle w:val="Compact"/>
      </w:pPr>
      <w:r>
        <w:rPr>
          <w:b/>
        </w:rPr>
        <w:t xml:space="preserve">市场竞争格局</w:t>
      </w:r>
      <w:r>
        <w:t xml:space="preserve">：中国计算机视觉市场份额35%位居第一（IDC数据），但面临百度智能云（30%份额）和阿里云AI（25%份额）的激烈竞争</w:t>
      </w:r>
    </w:p>
    <w:p>
      <w:pPr>
        <w:numPr>
          <w:ilvl w:val="0"/>
          <w:numId w:val="1001"/>
        </w:numPr>
        <w:pStyle w:val="Compact"/>
      </w:pPr>
      <w:r>
        <w:rPr>
          <w:b/>
        </w:rPr>
        <w:t xml:space="preserve">战略发展方向</w:t>
      </w:r>
      <w:r>
        <w:t xml:space="preserve">：计划2025-2030年将海外收入占比提升至30%，重点布局东南亚和欧洲市场，同时推动智能汽车解决方案量产</w:t>
      </w:r>
    </w:p>
    <w:p>
      <w:pPr>
        <w:pStyle w:val="Heading2"/>
      </w:pPr>
      <w:bookmarkStart w:id="22" w:name="概述"/>
      <w:r>
        <w:t xml:space="preserve">概述</w:t>
      </w:r>
      <w:bookmarkEnd w:id="22"/>
    </w:p>
    <w:p>
      <w:pPr>
        <w:pStyle w:val="FirstParagraph"/>
      </w:pPr>
      <w:r>
        <w:t xml:space="preserve">商汤科技（股票代码：00020）作为全球领先的人工智能平台公司，自2014年由香港中文大学汤晓鸥教授创立以来，已发展成为计算机视觉和深度学习领域的标杆企业。本报告基于2022-2024年的财务数据、运营指标和行业分析，系统考察了该企业在技术创新、商业模式、市场竞争和战略布局等方面的表现。</w:t>
      </w:r>
    </w:p>
    <w:p>
      <w:pPr>
        <w:pStyle w:val="BodyText"/>
      </w:pPr>
      <w:r>
        <w:t xml:space="preserve">研究显示，商汤科技正处于从技术研发向商业化落地转型的关键阶段。尽管仍面临持续亏损和现金流压力，但其在生成式AI领域的技术突破和市场拓展展现出显著的增长潜力。同时，日益激烈的行业竞争和不断变化的监管环境也为其未来发展带来挑战。</w:t>
      </w:r>
    </w:p>
    <w:p>
      <w:pPr>
        <w:pStyle w:val="Heading2"/>
      </w:pPr>
      <w:bookmarkStart w:id="23" w:name="详细分析"/>
      <w:r>
        <w:t xml:space="preserve">详细分析</w:t>
      </w:r>
      <w:bookmarkEnd w:id="23"/>
    </w:p>
    <w:p>
      <w:pPr>
        <w:pStyle w:val="Heading3"/>
      </w:pPr>
      <w:bookmarkStart w:id="24" w:name="一企业发展历程与业务演进"/>
      <w:r>
        <w:t xml:space="preserve">一、企业发展历程与业务演进</w:t>
      </w:r>
      <w:bookmarkEnd w:id="24"/>
    </w:p>
    <w:p>
      <w:pPr>
        <w:pStyle w:val="Heading4"/>
      </w:pPr>
      <w:bookmarkStart w:id="25" w:name="成立背景与核心优势"/>
      <w:r>
        <w:t xml:space="preserve">1.1 成立背景与核心优势</w:t>
      </w:r>
      <w:bookmarkEnd w:id="25"/>
    </w:p>
    <w:p>
      <w:pPr>
        <w:pStyle w:val="FirstParagraph"/>
      </w:pPr>
      <w:r>
        <w:t xml:space="preserve">商汤科技创始团队源自香港中文大学多媒体实验室，在计算机视觉领域具有深厚积累。其早期开发的DeepID系列人脸识别算法首次实现超越人眼的识别精度，为后续商业化奠定技术基础。公司核心竞争优势体现在：</w:t>
      </w:r>
    </w:p>
    <w:tbl>
      <w:tblPr>
        <w:tblStyle w:val="Table"/>
        <w:tblW w:type="pct" w:w="0.0"/>
        <w:tblLook w:firstRow="1"/>
      </w:tblPr>
      <w:tblGrid/>
      <w:tr>
        <w:trPr>
          <w:cnfStyle w:firstRow="1"/>
        </w:trPr>
        <w:tc>
          <w:tcPr>
            <w:tcBorders>
              <w:bottom w:val="single"/>
            </w:tcBorders>
            <w:vAlign w:val="bottom"/>
          </w:tcPr>
          <w:p>
            <w:pPr>
              <w:pStyle w:val="Compact"/>
              <w:jc w:val="left"/>
            </w:pPr>
            <w:r>
              <w:t xml:space="preserve">优势维度</w:t>
            </w:r>
          </w:p>
        </w:tc>
        <w:tc>
          <w:tcPr>
            <w:tcBorders>
              <w:bottom w:val="single"/>
            </w:tcBorders>
            <w:vAlign w:val="bottom"/>
          </w:tcPr>
          <w:p>
            <w:pPr>
              <w:pStyle w:val="Compact"/>
              <w:jc w:val="left"/>
            </w:pPr>
            <w:r>
              <w:t xml:space="preserve">具体表现</w:t>
            </w:r>
          </w:p>
        </w:tc>
        <w:tc>
          <w:tcPr>
            <w:tcBorders>
              <w:bottom w:val="single"/>
            </w:tcBorders>
            <w:vAlign w:val="bottom"/>
          </w:tcPr>
          <w:p>
            <w:pPr>
              <w:pStyle w:val="Compact"/>
              <w:jc w:val="left"/>
            </w:pPr>
            <w:r>
              <w:t xml:space="preserve">数据支撑</w:t>
            </w:r>
          </w:p>
        </w:tc>
      </w:tr>
      <w:tr>
        <w:tc>
          <w:p>
            <w:pPr>
              <w:pStyle w:val="Compact"/>
              <w:jc w:val="left"/>
            </w:pPr>
            <w:r>
              <w:t xml:space="preserve">技术壁垒</w:t>
            </w:r>
          </w:p>
        </w:tc>
        <w:tc>
          <w:p>
            <w:pPr>
              <w:pStyle w:val="Compact"/>
              <w:jc w:val="left"/>
            </w:pPr>
            <w:r>
              <w:t xml:space="preserve">计算机视觉算法精度达99.5%</w:t>
            </w:r>
          </w:p>
        </w:tc>
        <w:tc>
          <w:p>
            <w:pPr>
              <w:pStyle w:val="Compact"/>
              <w:jc w:val="left"/>
            </w:pPr>
            <w:r>
              <w:t xml:space="preserve">2024年测试数据</w:t>
            </w:r>
          </w:p>
        </w:tc>
      </w:tr>
      <w:tr>
        <w:tc>
          <w:p>
            <w:pPr>
              <w:pStyle w:val="Compact"/>
              <w:jc w:val="left"/>
            </w:pPr>
            <w:r>
              <w:t xml:space="preserve">研发投入</w:t>
            </w:r>
          </w:p>
        </w:tc>
        <w:tc>
          <w:p>
            <w:pPr>
              <w:pStyle w:val="Compact"/>
              <w:jc w:val="left"/>
            </w:pPr>
            <w:r>
              <w:t xml:space="preserve">研发费用占比维持30%以上</w:t>
            </w:r>
          </w:p>
        </w:tc>
        <w:tc>
          <w:p>
            <w:pPr>
              <w:pStyle w:val="Compact"/>
              <w:jc w:val="left"/>
            </w:pPr>
            <w:r>
              <w:t xml:space="preserve">2024年财务报告</w:t>
            </w:r>
          </w:p>
        </w:tc>
      </w:tr>
      <w:tr>
        <w:tc>
          <w:p>
            <w:pPr>
              <w:pStyle w:val="Compact"/>
              <w:jc w:val="left"/>
            </w:pPr>
            <w:r>
              <w:t xml:space="preserve">政策支持</w:t>
            </w:r>
          </w:p>
        </w:tc>
        <w:tc>
          <w:p>
            <w:pPr>
              <w:pStyle w:val="Compact"/>
              <w:jc w:val="left"/>
            </w:pPr>
            <w:r>
              <w:t xml:space="preserve">年均政府补助超5亿元</w:t>
            </w:r>
          </w:p>
        </w:tc>
        <w:tc>
          <w:p>
            <w:pPr>
              <w:pStyle w:val="Compact"/>
              <w:jc w:val="left"/>
            </w:pPr>
            <w:r>
              <w:t xml:space="preserve">2022-2024年财报</w:t>
            </w:r>
          </w:p>
        </w:tc>
      </w:tr>
    </w:tbl>
    <w:p>
      <w:pPr>
        <w:pStyle w:val="Heading4"/>
      </w:pPr>
      <w:bookmarkStart w:id="26" w:name="业务模式转型路径"/>
      <w:r>
        <w:t xml:space="preserve">1.2 业务模式转型路径</w:t>
      </w:r>
      <w:bookmarkEnd w:id="26"/>
    </w:p>
    <w:p>
      <w:pPr>
        <w:pStyle w:val="FirstParagraph"/>
      </w:pPr>
      <w:r>
        <w:t xml:space="preserve">商汤科技的商业模式经历了显著演变：</w:t>
      </w:r>
    </w:p>
    <w:p>
      <w:pPr>
        <w:pStyle w:val="SourceCode"/>
      </w:pPr>
      <w:r>
        <w:rPr>
          <w:rStyle w:val="SpecialStringTok"/>
        </w:rPr>
        <w:t xml:space="preserve">1. </w:t>
      </w:r>
      <w:r>
        <w:rPr>
          <w:rStyle w:val="NormalTok"/>
        </w:rPr>
        <w:t xml:space="preserve">2014-2016年：技术授权模式</w:t>
      </w:r>
      <w:r>
        <w:br/>
      </w:r>
      <w:r>
        <w:rPr>
          <w:rStyle w:val="SpecialStringTok"/>
        </w:rPr>
        <w:t xml:space="preserve">   - </w:t>
      </w:r>
      <w:r>
        <w:rPr>
          <w:rStyle w:val="NormalTok"/>
        </w:rPr>
        <w:t xml:space="preserve">主要收入来源：算法授权费</w:t>
      </w:r>
      <w:r>
        <w:br/>
      </w:r>
      <w:r>
        <w:rPr>
          <w:rStyle w:val="SpecialStringTok"/>
        </w:rPr>
        <w:t xml:space="preserve">   - </w:t>
      </w:r>
      <w:r>
        <w:rPr>
          <w:rStyle w:val="NormalTok"/>
        </w:rPr>
        <w:t xml:space="preserve">核心客户：安防设备厂商</w:t>
      </w:r>
      <w:r>
        <w:br/>
      </w:r>
      <w:r>
        <w:br/>
      </w:r>
      <w:r>
        <w:rPr>
          <w:rStyle w:val="SpecialStringTok"/>
        </w:rPr>
        <w:t xml:space="preserve">2. </w:t>
      </w:r>
      <w:r>
        <w:rPr>
          <w:rStyle w:val="NormalTok"/>
        </w:rPr>
        <w:t xml:space="preserve">2017-2019年：解决方案模式</w:t>
      </w:r>
      <w:r>
        <w:br/>
      </w:r>
      <w:r>
        <w:rPr>
          <w:rStyle w:val="SpecialStringTok"/>
        </w:rPr>
        <w:t xml:space="preserve">   - </w:t>
      </w:r>
      <w:r>
        <w:rPr>
          <w:rStyle w:val="NormalTok"/>
        </w:rPr>
        <w:t xml:space="preserve">业务扩展：智慧城市、金融科技</w:t>
      </w:r>
      <w:r>
        <w:br/>
      </w:r>
      <w:r>
        <w:rPr>
          <w:rStyle w:val="SpecialStringTok"/>
        </w:rPr>
        <w:t xml:space="preserve">   - </w:t>
      </w:r>
      <w:r>
        <w:rPr>
          <w:rStyle w:val="NormalTok"/>
        </w:rPr>
        <w:t xml:space="preserve">典型项目：城市安防系统</w:t>
      </w:r>
      <w:r>
        <w:br/>
      </w:r>
      <w:r>
        <w:br/>
      </w:r>
      <w:r>
        <w:rPr>
          <w:rStyle w:val="SpecialStringTok"/>
        </w:rPr>
        <w:t xml:space="preserve">3. </w:t>
      </w:r>
      <w:r>
        <w:rPr>
          <w:rStyle w:val="NormalTok"/>
        </w:rPr>
        <w:t xml:space="preserve">2020-2024年：平台化转型</w:t>
      </w:r>
      <w:r>
        <w:br/>
      </w:r>
      <w:r>
        <w:rPr>
          <w:rStyle w:val="SpecialStringTok"/>
        </w:rPr>
        <w:t xml:space="preserve">   - </w:t>
      </w:r>
      <w:r>
        <w:rPr>
          <w:rStyle w:val="NormalTok"/>
        </w:rPr>
        <w:t xml:space="preserve">推出AI开放平台</w:t>
      </w:r>
      <w:r>
        <w:br/>
      </w:r>
      <w:r>
        <w:rPr>
          <w:rStyle w:val="SpecialStringTok"/>
        </w:rPr>
        <w:t xml:space="preserve">   - </w:t>
      </w:r>
      <w:r>
        <w:rPr>
          <w:rStyle w:val="NormalTok"/>
        </w:rPr>
        <w:t xml:space="preserve">形成"基础大模型+行业应用"双轮驱动</w:t>
      </w:r>
    </w:p>
    <w:p>
      <w:pPr>
        <w:pStyle w:val="Heading3"/>
      </w:pPr>
      <w:bookmarkStart w:id="27" w:name="二财务表现与运营效率"/>
      <w:r>
        <w:t xml:space="preserve">二、财务表现与运营效率</w:t>
      </w:r>
      <w:bookmarkEnd w:id="27"/>
    </w:p>
    <w:p>
      <w:pPr>
        <w:pStyle w:val="Heading4"/>
      </w:pPr>
      <w:bookmarkStart w:id="28" w:name="关键财务指标趋势2022-2024"/>
      <w:r>
        <w:t xml:space="preserve">2.1 关键财务指标趋势（2022-2024）</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指标</w:t>
            </w:r>
          </w:p>
        </w:tc>
        <w:tc>
          <w:tcPr>
            <w:tcBorders>
              <w:bottom w:val="single"/>
            </w:tcBorders>
            <w:vAlign w:val="bottom"/>
          </w:tcPr>
          <w:p>
            <w:pPr>
              <w:pStyle w:val="Compact"/>
              <w:jc w:val="left"/>
            </w:pPr>
            <w:r>
              <w:t xml:space="preserve">2022年</w:t>
            </w:r>
          </w:p>
        </w:tc>
        <w:tc>
          <w:tcPr>
            <w:tcBorders>
              <w:bottom w:val="single"/>
            </w:tcBorders>
            <w:vAlign w:val="bottom"/>
          </w:tcPr>
          <w:p>
            <w:pPr>
              <w:pStyle w:val="Compact"/>
              <w:jc w:val="left"/>
            </w:pPr>
            <w:r>
              <w:t xml:space="preserve">2023年</w:t>
            </w:r>
          </w:p>
        </w:tc>
        <w:tc>
          <w:tcPr>
            <w:tcBorders>
              <w:bottom w:val="single"/>
            </w:tcBorders>
            <w:vAlign w:val="bottom"/>
          </w:tcPr>
          <w:p>
            <w:pPr>
              <w:pStyle w:val="Compact"/>
              <w:jc w:val="left"/>
            </w:pPr>
            <w:r>
              <w:t xml:space="preserve">2024年</w:t>
            </w:r>
          </w:p>
        </w:tc>
        <w:tc>
          <w:tcPr>
            <w:tcBorders>
              <w:bottom w:val="single"/>
            </w:tcBorders>
            <w:vAlign w:val="bottom"/>
          </w:tcPr>
          <w:p>
            <w:pPr>
              <w:pStyle w:val="Compact"/>
              <w:jc w:val="left"/>
            </w:pPr>
            <w:r>
              <w:t xml:space="preserve">变化趋势</w:t>
            </w:r>
          </w:p>
        </w:tc>
      </w:tr>
      <w:tr>
        <w:tc>
          <w:p>
            <w:pPr>
              <w:pStyle w:val="Compact"/>
              <w:jc w:val="left"/>
            </w:pPr>
            <w:r>
              <w:t xml:space="preserve">营收(亿元)</w:t>
            </w:r>
          </w:p>
        </w:tc>
        <w:tc>
          <w:p>
            <w:pPr>
              <w:pStyle w:val="Compact"/>
              <w:jc w:val="left"/>
            </w:pPr>
            <w:r>
              <w:t xml:space="preserve">38.08</w:t>
            </w:r>
          </w:p>
        </w:tc>
        <w:tc>
          <w:p>
            <w:pPr>
              <w:pStyle w:val="Compact"/>
              <w:jc w:val="left"/>
            </w:pPr>
            <w:r>
              <w:t xml:space="preserve">34.05</w:t>
            </w:r>
          </w:p>
        </w:tc>
        <w:tc>
          <w:p>
            <w:pPr>
              <w:pStyle w:val="Compact"/>
              <w:jc w:val="left"/>
            </w:pPr>
            <w:r>
              <w:t xml:space="preserve">37.70</w:t>
            </w:r>
          </w:p>
        </w:tc>
        <w:tc>
          <w:p>
            <w:pPr>
              <w:pStyle w:val="Compact"/>
              <w:jc w:val="left"/>
            </w:pPr>
            <w:r>
              <w:t xml:space="preserve">2024回升</w:t>
            </w:r>
          </w:p>
        </w:tc>
      </w:tr>
      <w:tr>
        <w:tc>
          <w:p>
            <w:pPr>
              <w:pStyle w:val="Compact"/>
              <w:jc w:val="left"/>
            </w:pPr>
            <w:r>
              <w:t xml:space="preserve">毛利率(%)</w:t>
            </w:r>
          </w:p>
        </w:tc>
        <w:tc>
          <w:p>
            <w:pPr>
              <w:pStyle w:val="Compact"/>
              <w:jc w:val="left"/>
            </w:pPr>
            <w:r>
              <w:t xml:space="preserve">66.75</w:t>
            </w:r>
          </w:p>
        </w:tc>
        <w:tc>
          <w:p>
            <w:pPr>
              <w:pStyle w:val="Compact"/>
              <w:jc w:val="left"/>
            </w:pPr>
            <w:r>
              <w:t xml:space="preserve">44.07</w:t>
            </w:r>
          </w:p>
        </w:tc>
        <w:tc>
          <w:p>
            <w:pPr>
              <w:pStyle w:val="Compact"/>
              <w:jc w:val="left"/>
            </w:pPr>
            <w:r>
              <w:t xml:space="preserve">42.94</w:t>
            </w:r>
          </w:p>
        </w:tc>
        <w:tc>
          <w:p>
            <w:pPr>
              <w:pStyle w:val="Compact"/>
              <w:jc w:val="left"/>
            </w:pPr>
            <w:r>
              <w:t xml:space="preserve">逐年下降</w:t>
            </w:r>
          </w:p>
        </w:tc>
      </w:tr>
      <w:tr>
        <w:tc>
          <w:p>
            <w:pPr>
              <w:pStyle w:val="Compact"/>
              <w:jc w:val="left"/>
            </w:pPr>
            <w:r>
              <w:t xml:space="preserve">净亏损(亿元)</w:t>
            </w:r>
          </w:p>
        </w:tc>
        <w:tc>
          <w:p>
            <w:pPr>
              <w:pStyle w:val="Compact"/>
              <w:jc w:val="left"/>
            </w:pPr>
            <w:r>
              <w:t xml:space="preserve">-60.45</w:t>
            </w:r>
          </w:p>
        </w:tc>
        <w:tc>
          <w:p>
            <w:pPr>
              <w:pStyle w:val="Compact"/>
              <w:jc w:val="left"/>
            </w:pPr>
            <w:r>
              <w:t xml:space="preserve">-64.36</w:t>
            </w:r>
          </w:p>
        </w:tc>
        <w:tc>
          <w:p>
            <w:pPr>
              <w:pStyle w:val="Compact"/>
              <w:jc w:val="left"/>
            </w:pPr>
            <w:r>
              <w:t xml:space="preserve">-41.41</w:t>
            </w:r>
          </w:p>
        </w:tc>
        <w:tc>
          <w:p>
            <w:pPr>
              <w:pStyle w:val="Compact"/>
              <w:jc w:val="left"/>
            </w:pPr>
            <w:r>
              <w:t xml:space="preserve">2024改善</w:t>
            </w:r>
          </w:p>
        </w:tc>
      </w:tr>
      <w:tr>
        <w:tc>
          <w:p>
            <w:pPr>
              <w:pStyle w:val="Compact"/>
              <w:jc w:val="left"/>
            </w:pPr>
            <w:r>
              <w:t xml:space="preserve">研发投入占比</w:t>
            </w:r>
          </w:p>
        </w:tc>
        <w:tc>
          <w:p>
            <w:pPr>
              <w:pStyle w:val="Compact"/>
              <w:jc w:val="left"/>
            </w:pPr>
            <w:r>
              <w:t xml:space="preserve">72.3%</w:t>
            </w:r>
          </w:p>
        </w:tc>
        <w:tc>
          <w:p>
            <w:pPr>
              <w:pStyle w:val="Compact"/>
              <w:jc w:val="left"/>
            </w:pPr>
            <w:r>
              <w:t xml:space="preserve">65.8%</w:t>
            </w:r>
          </w:p>
        </w:tc>
        <w:tc>
          <w:p>
            <w:pPr>
              <w:pStyle w:val="Compact"/>
              <w:jc w:val="left"/>
            </w:pPr>
            <w:r>
              <w:t xml:space="preserve">57.0%</w:t>
            </w:r>
          </w:p>
        </w:tc>
        <w:tc>
          <w:p>
            <w:pPr>
              <w:pStyle w:val="Compact"/>
              <w:jc w:val="left"/>
            </w:pPr>
            <w:r>
              <w:t xml:space="preserve">持续优化</w:t>
            </w:r>
          </w:p>
        </w:tc>
      </w:tr>
    </w:tbl>
    <w:p>
      <w:pPr>
        <w:pStyle w:val="BodyText"/>
      </w:pPr>
      <w:r>
        <w:rPr>
          <w:i/>
        </w:rPr>
        <w:t xml:space="preserve">数据来源：商汤科技年度财务报告</w:t>
      </w:r>
    </w:p>
    <w:p>
      <w:pPr>
        <w:pStyle w:val="Heading4"/>
      </w:pPr>
      <w:bookmarkStart w:id="29" w:name="业务板块收入构成"/>
      <w:r>
        <w:t xml:space="preserve">2.2 业务板块收入构成</w:t>
      </w:r>
      <w:bookmarkEnd w:id="29"/>
    </w:p>
    <w:p>
      <w:pPr>
        <w:pStyle w:val="FirstParagraph"/>
      </w:pPr>
      <w:r>
        <w:t xml:space="preserve">2024年各业务板块收入占比呈现结构性变化：</w:t>
      </w:r>
    </w:p>
    <w:p>
      <w:pPr>
        <w:pStyle w:val="CaptionedFigure"/>
      </w:pPr>
      <w:r>
        <w:t xml:space="preserve">业务收入结构</w:t>
      </w:r>
    </w:p>
    <w:p>
      <w:pPr>
        <w:pStyle w:val="ImageCaption"/>
      </w:pPr>
      <w:r>
        <w:t xml:space="preserve">业务收入结构</w:t>
      </w:r>
    </w:p>
    <w:p>
      <w:pPr>
        <w:numPr>
          <w:ilvl w:val="0"/>
          <w:numId w:val="1002"/>
        </w:numPr>
        <w:pStyle w:val="Compact"/>
      </w:pPr>
      <w:r>
        <w:rPr>
          <w:b/>
        </w:rPr>
        <w:t xml:space="preserve">生成式AI业务</w:t>
      </w:r>
      <w:r>
        <w:t xml:space="preserve">（50%）：包括内容生成、对话式AI等应用</w:t>
      </w:r>
    </w:p>
    <w:p>
      <w:pPr>
        <w:numPr>
          <w:ilvl w:val="0"/>
          <w:numId w:val="1002"/>
        </w:numPr>
        <w:pStyle w:val="Compact"/>
      </w:pPr>
      <w:r>
        <w:rPr>
          <w:b/>
        </w:rPr>
        <w:t xml:space="preserve">智慧城市业务</w:t>
      </w:r>
      <w:r>
        <w:t xml:space="preserve">（30%）：政府安防、城市管理等解决方案</w:t>
      </w:r>
    </w:p>
    <w:p>
      <w:pPr>
        <w:numPr>
          <w:ilvl w:val="0"/>
          <w:numId w:val="1002"/>
        </w:numPr>
        <w:pStyle w:val="Compact"/>
      </w:pPr>
      <w:r>
        <w:rPr>
          <w:b/>
        </w:rPr>
        <w:t xml:space="preserve">智能汽车业务</w:t>
      </w:r>
      <w:r>
        <w:t xml:space="preserve">（20%）：自动驾驶、车载交互系统</w:t>
      </w:r>
    </w:p>
    <w:p>
      <w:pPr>
        <w:pStyle w:val="Heading4"/>
      </w:pPr>
      <w:bookmarkStart w:id="30" w:name="运营效率关键指标"/>
      <w:r>
        <w:t xml:space="preserve">2.3 运营效率关键指标</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效率指标</w:t>
            </w:r>
          </w:p>
        </w:tc>
        <w:tc>
          <w:tcPr>
            <w:tcBorders>
              <w:bottom w:val="single"/>
            </w:tcBorders>
            <w:vAlign w:val="bottom"/>
          </w:tcPr>
          <w:p>
            <w:pPr>
              <w:pStyle w:val="Compact"/>
              <w:jc w:val="left"/>
            </w:pPr>
            <w:r>
              <w:t xml:space="preserve">2022年</w:t>
            </w:r>
          </w:p>
        </w:tc>
        <w:tc>
          <w:tcPr>
            <w:tcBorders>
              <w:bottom w:val="single"/>
            </w:tcBorders>
            <w:vAlign w:val="bottom"/>
          </w:tcPr>
          <w:p>
            <w:pPr>
              <w:pStyle w:val="Compact"/>
              <w:jc w:val="left"/>
            </w:pPr>
            <w:r>
              <w:t xml:space="preserve">2023年</w:t>
            </w:r>
          </w:p>
        </w:tc>
        <w:tc>
          <w:tcPr>
            <w:tcBorders>
              <w:bottom w:val="single"/>
            </w:tcBorders>
            <w:vAlign w:val="bottom"/>
          </w:tcPr>
          <w:p>
            <w:pPr>
              <w:pStyle w:val="Compact"/>
              <w:jc w:val="left"/>
            </w:pPr>
            <w:r>
              <w:t xml:space="preserve">2024年</w:t>
            </w:r>
          </w:p>
        </w:tc>
        <w:tc>
          <w:tcPr>
            <w:tcBorders>
              <w:bottom w:val="single"/>
            </w:tcBorders>
            <w:vAlign w:val="bottom"/>
          </w:tcPr>
          <w:p>
            <w:pPr>
              <w:pStyle w:val="Compact"/>
              <w:jc w:val="left"/>
            </w:pPr>
            <w:r>
              <w:t xml:space="preserve">行业基准</w:t>
            </w:r>
          </w:p>
        </w:tc>
      </w:tr>
      <w:tr>
        <w:tc>
          <w:p>
            <w:pPr>
              <w:pStyle w:val="Compact"/>
              <w:jc w:val="left"/>
            </w:pPr>
            <w:r>
              <w:t xml:space="preserve">应收账款周转天数</w:t>
            </w:r>
          </w:p>
        </w:tc>
        <w:tc>
          <w:p>
            <w:pPr>
              <w:pStyle w:val="Compact"/>
              <w:jc w:val="left"/>
            </w:pPr>
            <w:r>
              <w:t xml:space="preserve">183天</w:t>
            </w:r>
          </w:p>
        </w:tc>
        <w:tc>
          <w:p>
            <w:pPr>
              <w:pStyle w:val="Compact"/>
              <w:jc w:val="left"/>
            </w:pPr>
            <w:r>
              <w:t xml:space="preserve">198天</w:t>
            </w:r>
          </w:p>
        </w:tc>
        <w:tc>
          <w:p>
            <w:pPr>
              <w:pStyle w:val="Compact"/>
              <w:jc w:val="left"/>
            </w:pPr>
            <w:r>
              <w:t xml:space="preserve">175天</w:t>
            </w:r>
          </w:p>
        </w:tc>
        <w:tc>
          <w:p>
            <w:pPr>
              <w:pStyle w:val="Compact"/>
              <w:jc w:val="left"/>
            </w:pPr>
            <w:r>
              <w:t xml:space="preserve">&lt;90天</w:t>
            </w:r>
          </w:p>
        </w:tc>
      </w:tr>
      <w:tr>
        <w:tc>
          <w:p>
            <w:pPr>
              <w:pStyle w:val="Compact"/>
              <w:jc w:val="left"/>
            </w:pPr>
            <w:r>
              <w:t xml:space="preserve">存货周转天数</w:t>
            </w:r>
          </w:p>
        </w:tc>
        <w:tc>
          <w:p>
            <w:pPr>
              <w:pStyle w:val="Compact"/>
              <w:jc w:val="left"/>
            </w:pPr>
            <w:r>
              <w:t xml:space="preserve">68天</w:t>
            </w:r>
          </w:p>
        </w:tc>
        <w:tc>
          <w:p>
            <w:pPr>
              <w:pStyle w:val="Compact"/>
              <w:jc w:val="left"/>
            </w:pPr>
            <w:r>
              <w:t xml:space="preserve">92天</w:t>
            </w:r>
          </w:p>
        </w:tc>
        <w:tc>
          <w:p>
            <w:pPr>
              <w:pStyle w:val="Compact"/>
              <w:jc w:val="left"/>
            </w:pPr>
            <w:r>
              <w:t xml:space="preserve">85天</w:t>
            </w:r>
          </w:p>
        </w:tc>
        <w:tc>
          <w:p>
            <w:pPr>
              <w:pStyle w:val="Compact"/>
              <w:jc w:val="left"/>
            </w:pPr>
            <w:r>
              <w:t xml:space="preserve">&lt;60天</w:t>
            </w:r>
          </w:p>
        </w:tc>
      </w:tr>
      <w:tr>
        <w:tc>
          <w:p>
            <w:pPr>
              <w:pStyle w:val="Compact"/>
              <w:jc w:val="left"/>
            </w:pPr>
            <w:r>
              <w:t xml:space="preserve">总资产周转率</w:t>
            </w:r>
          </w:p>
        </w:tc>
        <w:tc>
          <w:p>
            <w:pPr>
              <w:pStyle w:val="Compact"/>
              <w:jc w:val="left"/>
            </w:pPr>
            <w:r>
              <w:t xml:space="preserve">0.11</w:t>
            </w:r>
          </w:p>
        </w:tc>
        <w:tc>
          <w:p>
            <w:pPr>
              <w:pStyle w:val="Compact"/>
              <w:jc w:val="left"/>
            </w:pPr>
            <w:r>
              <w:t xml:space="preserve">0.10</w:t>
            </w:r>
          </w:p>
        </w:tc>
        <w:tc>
          <w:p>
            <w:pPr>
              <w:pStyle w:val="Compact"/>
              <w:jc w:val="left"/>
            </w:pPr>
            <w:r>
              <w:t xml:space="preserve">0.12</w:t>
            </w:r>
          </w:p>
        </w:tc>
        <w:tc>
          <w:p>
            <w:pPr>
              <w:pStyle w:val="Compact"/>
              <w:jc w:val="left"/>
            </w:pPr>
            <w:r>
              <w:t xml:space="preserve">&gt;0.5</w:t>
            </w:r>
          </w:p>
        </w:tc>
      </w:tr>
    </w:tbl>
    <w:p>
      <w:pPr>
        <w:pStyle w:val="Heading3"/>
      </w:pPr>
      <w:bookmarkStart w:id="31" w:name="三竞争格局与行业地位"/>
      <w:r>
        <w:t xml:space="preserve">三、竞争格局与行业地位</w:t>
      </w:r>
      <w:bookmarkEnd w:id="31"/>
    </w:p>
    <w:p>
      <w:pPr>
        <w:pStyle w:val="Heading4"/>
      </w:pPr>
      <w:bookmarkStart w:id="32" w:name="中国ai市场主要参与者比较"/>
      <w:r>
        <w:t xml:space="preserve">3.1 中国AI市场主要参与者比较</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企业</w:t>
            </w:r>
          </w:p>
        </w:tc>
        <w:tc>
          <w:tcPr>
            <w:tcBorders>
              <w:bottom w:val="single"/>
            </w:tcBorders>
            <w:vAlign w:val="bottom"/>
          </w:tcPr>
          <w:p>
            <w:pPr>
              <w:pStyle w:val="Compact"/>
              <w:jc w:val="left"/>
            </w:pPr>
            <w:r>
              <w:t xml:space="preserve">2024收入(亿元)</w:t>
            </w:r>
          </w:p>
        </w:tc>
        <w:tc>
          <w:tcPr>
            <w:tcBorders>
              <w:bottom w:val="single"/>
            </w:tcBorders>
            <w:vAlign w:val="bottom"/>
          </w:tcPr>
          <w:p>
            <w:pPr>
              <w:pStyle w:val="Compact"/>
              <w:jc w:val="left"/>
            </w:pPr>
            <w:r>
              <w:t xml:space="preserve">市场份额</w:t>
            </w:r>
          </w:p>
        </w:tc>
        <w:tc>
          <w:tcPr>
            <w:tcBorders>
              <w:bottom w:val="single"/>
            </w:tcBorders>
            <w:vAlign w:val="bottom"/>
          </w:tcPr>
          <w:p>
            <w:pPr>
              <w:pStyle w:val="Compact"/>
              <w:jc w:val="left"/>
            </w:pPr>
            <w:r>
              <w:t xml:space="preserve">技术优势</w:t>
            </w:r>
          </w:p>
        </w:tc>
        <w:tc>
          <w:tcPr>
            <w:tcBorders>
              <w:bottom w:val="single"/>
            </w:tcBorders>
            <w:vAlign w:val="bottom"/>
          </w:tcPr>
          <w:p>
            <w:pPr>
              <w:pStyle w:val="Compact"/>
              <w:jc w:val="left"/>
            </w:pPr>
            <w:r>
              <w:t xml:space="preserve">主要客户群体</w:t>
            </w:r>
          </w:p>
        </w:tc>
      </w:tr>
      <w:tr>
        <w:tc>
          <w:p>
            <w:pPr>
              <w:pStyle w:val="Compact"/>
              <w:jc w:val="left"/>
            </w:pPr>
            <w:r>
              <w:t xml:space="preserve">商汤科技</w:t>
            </w:r>
          </w:p>
        </w:tc>
        <w:tc>
          <w:p>
            <w:pPr>
              <w:pStyle w:val="Compact"/>
              <w:jc w:val="left"/>
            </w:pPr>
            <w:r>
              <w:t xml:space="preserve">37.7</w:t>
            </w:r>
          </w:p>
        </w:tc>
        <w:tc>
          <w:p>
            <w:pPr>
              <w:pStyle w:val="Compact"/>
              <w:jc w:val="left"/>
            </w:pPr>
            <w:r>
              <w:t xml:space="preserve">35%</w:t>
            </w:r>
          </w:p>
        </w:tc>
        <w:tc>
          <w:p>
            <w:pPr>
              <w:pStyle w:val="Compact"/>
              <w:jc w:val="left"/>
            </w:pPr>
            <w:r>
              <w:t xml:space="preserve">计算机视觉、生成式AI</w:t>
            </w:r>
          </w:p>
        </w:tc>
        <w:tc>
          <w:p>
            <w:pPr>
              <w:pStyle w:val="Compact"/>
              <w:jc w:val="left"/>
            </w:pPr>
            <w:r>
              <w:t xml:space="preserve">政府、车企、互联网</w:t>
            </w:r>
          </w:p>
        </w:tc>
      </w:tr>
      <w:tr>
        <w:tc>
          <w:p>
            <w:pPr>
              <w:pStyle w:val="Compact"/>
              <w:jc w:val="left"/>
            </w:pPr>
            <w:r>
              <w:t xml:space="preserve">百度智能云</w:t>
            </w:r>
          </w:p>
        </w:tc>
        <w:tc>
          <w:p>
            <w:pPr>
              <w:pStyle w:val="Compact"/>
              <w:jc w:val="left"/>
            </w:pPr>
            <w:r>
              <w:t xml:space="preserve">56.6</w:t>
            </w:r>
          </w:p>
        </w:tc>
        <w:tc>
          <w:p>
            <w:pPr>
              <w:pStyle w:val="Compact"/>
              <w:jc w:val="left"/>
            </w:pPr>
            <w:r>
              <w:t xml:space="preserve">30%</w:t>
            </w:r>
          </w:p>
        </w:tc>
        <w:tc>
          <w:p>
            <w:pPr>
              <w:pStyle w:val="Compact"/>
              <w:jc w:val="left"/>
            </w:pPr>
            <w:r>
              <w:t xml:space="preserve">全栈AI能力</w:t>
            </w:r>
          </w:p>
        </w:tc>
        <w:tc>
          <w:p>
            <w:pPr>
              <w:pStyle w:val="Compact"/>
              <w:jc w:val="left"/>
            </w:pPr>
            <w:r>
              <w:t xml:space="preserve">企业级客户</w:t>
            </w:r>
          </w:p>
        </w:tc>
      </w:tr>
      <w:tr>
        <w:tc>
          <w:p>
            <w:pPr>
              <w:pStyle w:val="Compact"/>
              <w:jc w:val="left"/>
            </w:pPr>
            <w:r>
              <w:t xml:space="preserve">阿里云AI</w:t>
            </w:r>
          </w:p>
        </w:tc>
        <w:tc>
          <w:p>
            <w:pPr>
              <w:pStyle w:val="Compact"/>
              <w:jc w:val="left"/>
            </w:pPr>
            <w:r>
              <w:t xml:space="preserve">45.2</w:t>
            </w:r>
          </w:p>
        </w:tc>
        <w:tc>
          <w:p>
            <w:pPr>
              <w:pStyle w:val="Compact"/>
              <w:jc w:val="left"/>
            </w:pPr>
            <w:r>
              <w:t xml:space="preserve">25%</w:t>
            </w:r>
          </w:p>
        </w:tc>
        <w:tc>
          <w:p>
            <w:pPr>
              <w:pStyle w:val="Compact"/>
              <w:jc w:val="left"/>
            </w:pPr>
            <w:r>
              <w:t xml:space="preserve">云计算整合</w:t>
            </w:r>
          </w:p>
        </w:tc>
        <w:tc>
          <w:p>
            <w:pPr>
              <w:pStyle w:val="Compact"/>
              <w:jc w:val="left"/>
            </w:pPr>
            <w:r>
              <w:t xml:space="preserve">电商、金融</w:t>
            </w:r>
          </w:p>
        </w:tc>
      </w:tr>
      <w:tr>
        <w:tc>
          <w:p>
            <w:pPr>
              <w:pStyle w:val="Compact"/>
              <w:jc w:val="left"/>
            </w:pPr>
            <w:r>
              <w:t xml:space="preserve">旷视科技</w:t>
            </w:r>
          </w:p>
        </w:tc>
        <w:tc>
          <w:p>
            <w:pPr>
              <w:pStyle w:val="Compact"/>
              <w:jc w:val="left"/>
            </w:pPr>
            <w:r>
              <w:t xml:space="preserve">22.6</w:t>
            </w:r>
          </w:p>
        </w:tc>
        <w:tc>
          <w:p>
            <w:pPr>
              <w:pStyle w:val="Compact"/>
              <w:jc w:val="left"/>
            </w:pPr>
            <w:r>
              <w:t xml:space="preserve">20%</w:t>
            </w:r>
          </w:p>
        </w:tc>
        <w:tc>
          <w:p>
            <w:pPr>
              <w:pStyle w:val="Compact"/>
              <w:jc w:val="left"/>
            </w:pPr>
            <w:r>
              <w:t xml:space="preserve">AI+物联网</w:t>
            </w:r>
          </w:p>
        </w:tc>
        <w:tc>
          <w:p>
            <w:pPr>
              <w:pStyle w:val="Compact"/>
              <w:jc w:val="left"/>
            </w:pPr>
            <w:r>
              <w:t xml:space="preserve">安防、零售</w:t>
            </w:r>
          </w:p>
        </w:tc>
      </w:tr>
    </w:tbl>
    <w:p>
      <w:pPr>
        <w:pStyle w:val="BodyText"/>
      </w:pPr>
      <w:r>
        <w:rPr>
          <w:i/>
        </w:rPr>
        <w:t xml:space="preserve">数据来源：IDC 2024年中国AI市场报告</w:t>
      </w:r>
    </w:p>
    <w:p>
      <w:pPr>
        <w:pStyle w:val="Heading4"/>
      </w:pPr>
      <w:bookmarkStart w:id="33" w:name="技术研发成果对比2023-2024"/>
      <w:r>
        <w:t xml:space="preserve">3.2 技术研发成果对比（2023-2024）</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研发指标</w:t>
            </w:r>
          </w:p>
        </w:tc>
        <w:tc>
          <w:tcPr>
            <w:tcBorders>
              <w:bottom w:val="single"/>
            </w:tcBorders>
            <w:vAlign w:val="bottom"/>
          </w:tcPr>
          <w:p>
            <w:pPr>
              <w:pStyle w:val="Compact"/>
              <w:jc w:val="left"/>
            </w:pPr>
            <w:r>
              <w:t xml:space="preserve">商汤科技</w:t>
            </w:r>
          </w:p>
        </w:tc>
        <w:tc>
          <w:tcPr>
            <w:tcBorders>
              <w:bottom w:val="single"/>
            </w:tcBorders>
            <w:vAlign w:val="bottom"/>
          </w:tcPr>
          <w:p>
            <w:pPr>
              <w:pStyle w:val="Compact"/>
              <w:jc w:val="left"/>
            </w:pPr>
            <w:r>
              <w:t xml:space="preserve">百度智能云</w:t>
            </w:r>
          </w:p>
        </w:tc>
        <w:tc>
          <w:tcPr>
            <w:tcBorders>
              <w:bottom w:val="single"/>
            </w:tcBorders>
            <w:vAlign w:val="bottom"/>
          </w:tcPr>
          <w:p>
            <w:pPr>
              <w:pStyle w:val="Compact"/>
              <w:jc w:val="left"/>
            </w:pPr>
            <w:r>
              <w:t xml:space="preserve">阿里云AI</w:t>
            </w:r>
          </w:p>
        </w:tc>
      </w:tr>
      <w:tr>
        <w:tc>
          <w:p>
            <w:pPr>
              <w:pStyle w:val="Compact"/>
              <w:jc w:val="left"/>
            </w:pPr>
            <w:r>
              <w:t xml:space="preserve">专利申请量</w:t>
            </w:r>
          </w:p>
        </w:tc>
        <w:tc>
          <w:p>
            <w:pPr>
              <w:pStyle w:val="Compact"/>
              <w:jc w:val="left"/>
            </w:pPr>
            <w:r>
              <w:t xml:space="preserve">1,032</w:t>
            </w:r>
          </w:p>
        </w:tc>
        <w:tc>
          <w:p>
            <w:pPr>
              <w:pStyle w:val="Compact"/>
              <w:jc w:val="left"/>
            </w:pPr>
            <w:r>
              <w:t xml:space="preserve">1,856</w:t>
            </w:r>
          </w:p>
        </w:tc>
        <w:tc>
          <w:p>
            <w:pPr>
              <w:pStyle w:val="Compact"/>
              <w:jc w:val="left"/>
            </w:pPr>
            <w:r>
              <w:t xml:space="preserve">1,542</w:t>
            </w:r>
          </w:p>
        </w:tc>
      </w:tr>
      <w:tr>
        <w:tc>
          <w:p>
            <w:pPr>
              <w:pStyle w:val="Compact"/>
              <w:jc w:val="left"/>
            </w:pPr>
            <w:r>
              <w:t xml:space="preserve">大模型参数规模</w:t>
            </w:r>
          </w:p>
        </w:tc>
        <w:tc>
          <w:p>
            <w:pPr>
              <w:pStyle w:val="Compact"/>
              <w:jc w:val="left"/>
            </w:pPr>
            <w:r>
              <w:t xml:space="preserve">万亿级</w:t>
            </w:r>
          </w:p>
        </w:tc>
        <w:tc>
          <w:p>
            <w:pPr>
              <w:pStyle w:val="Compact"/>
              <w:jc w:val="left"/>
            </w:pPr>
            <w:r>
              <w:t xml:space="preserve">十万亿级</w:t>
            </w:r>
          </w:p>
        </w:tc>
        <w:tc>
          <w:p>
            <w:pPr>
              <w:pStyle w:val="Compact"/>
              <w:jc w:val="left"/>
            </w:pPr>
            <w:r>
              <w:t xml:space="preserve">万亿级</w:t>
            </w:r>
          </w:p>
        </w:tc>
      </w:tr>
      <w:tr>
        <w:tc>
          <w:p>
            <w:pPr>
              <w:pStyle w:val="Compact"/>
              <w:jc w:val="left"/>
            </w:pPr>
            <w:r>
              <w:t xml:space="preserve">算法竞赛获奖</w:t>
            </w:r>
          </w:p>
        </w:tc>
        <w:tc>
          <w:p>
            <w:pPr>
              <w:pStyle w:val="Compact"/>
              <w:jc w:val="left"/>
            </w:pPr>
            <w:r>
              <w:t xml:space="preserve">28项</w:t>
            </w:r>
          </w:p>
        </w:tc>
        <w:tc>
          <w:p>
            <w:pPr>
              <w:pStyle w:val="Compact"/>
              <w:jc w:val="left"/>
            </w:pPr>
            <w:r>
              <w:t xml:space="preserve">35项</w:t>
            </w:r>
          </w:p>
        </w:tc>
        <w:tc>
          <w:p>
            <w:pPr>
              <w:pStyle w:val="Compact"/>
              <w:jc w:val="left"/>
            </w:pPr>
            <w:r>
              <w:t xml:space="preserve">22项</w:t>
            </w:r>
          </w:p>
        </w:tc>
      </w:tr>
    </w:tbl>
    <w:p>
      <w:pPr>
        <w:pStyle w:val="Heading3"/>
      </w:pPr>
      <w:bookmarkStart w:id="34" w:name="四战略规划与风险分析"/>
      <w:r>
        <w:t xml:space="preserve">四、战略规划与风险分析</w:t>
      </w:r>
      <w:bookmarkEnd w:id="34"/>
    </w:p>
    <w:p>
      <w:pPr>
        <w:pStyle w:val="Heading4"/>
      </w:pPr>
      <w:bookmarkStart w:id="35" w:name="年战略路线图"/>
      <w:r>
        <w:t xml:space="preserve">4.1 2025-2030年战略路线图</w:t>
      </w:r>
      <w:bookmarkEnd w:id="35"/>
    </w:p>
    <w:p>
      <w:pPr>
        <w:pStyle w:val="SourceCode"/>
      </w:pPr>
      <w:r>
        <w:rPr>
          <w:rStyle w:val="SpecialStringTok"/>
        </w:rPr>
        <w:t xml:space="preserve">1. </w:t>
      </w:r>
      <w:r>
        <w:rPr>
          <w:rStyle w:val="NormalTok"/>
        </w:rPr>
        <w:t xml:space="preserve">技术发展路径</w:t>
      </w:r>
      <w:r>
        <w:br/>
      </w:r>
      <w:r>
        <w:rPr>
          <w:rStyle w:val="SpecialStringTok"/>
        </w:rPr>
        <w:t xml:space="preserve">   - </w:t>
      </w:r>
      <w:r>
        <w:rPr>
          <w:rStyle w:val="NormalTok"/>
        </w:rPr>
        <w:t xml:space="preserve">2025年：推出边缘计算轻量化方案</w:t>
      </w:r>
      <w:r>
        <w:br/>
      </w:r>
      <w:r>
        <w:rPr>
          <w:rStyle w:val="SpecialStringTok"/>
        </w:rPr>
        <w:t xml:space="preserve">   - </w:t>
      </w:r>
      <w:r>
        <w:rPr>
          <w:rStyle w:val="NormalTok"/>
        </w:rPr>
        <w:t xml:space="preserve">2026年：实现多模态AI深度融合</w:t>
      </w:r>
      <w:r>
        <w:br/>
      </w:r>
      <w:r>
        <w:rPr>
          <w:rStyle w:val="SpecialStringTok"/>
        </w:rPr>
        <w:t xml:space="preserve">   - </w:t>
      </w:r>
      <w:r>
        <w:rPr>
          <w:rStyle w:val="NormalTok"/>
        </w:rPr>
        <w:t xml:space="preserve">2027年：参数规模突破十万亿级</w:t>
      </w:r>
      <w:r>
        <w:br/>
      </w:r>
      <w:r>
        <w:br/>
      </w:r>
      <w:r>
        <w:rPr>
          <w:rStyle w:val="SpecialStringTok"/>
        </w:rPr>
        <w:t xml:space="preserve">2. </w:t>
      </w:r>
      <w:r>
        <w:rPr>
          <w:rStyle w:val="NormalTok"/>
        </w:rPr>
        <w:t xml:space="preserve">市场拓展计划</w:t>
      </w:r>
      <w:r>
        <w:br/>
      </w:r>
      <w:r>
        <w:rPr>
          <w:rStyle w:val="SpecialStringTok"/>
        </w:rPr>
        <w:t xml:space="preserve">   - </w:t>
      </w:r>
      <w:r>
        <w:rPr>
          <w:rStyle w:val="NormalTok"/>
        </w:rPr>
        <w:t xml:space="preserve">2025年：进入新加坡、马来西亚市场</w:t>
      </w:r>
      <w:r>
        <w:br/>
      </w:r>
      <w:r>
        <w:rPr>
          <w:rStyle w:val="SpecialStringTok"/>
        </w:rPr>
        <w:t xml:space="preserve">   - </w:t>
      </w:r>
      <w:r>
        <w:rPr>
          <w:rStyle w:val="NormalTok"/>
        </w:rPr>
        <w:t xml:space="preserve">2026年：东南亚市场份额达15%</w:t>
      </w:r>
      <w:r>
        <w:br/>
      </w:r>
      <w:r>
        <w:rPr>
          <w:rStyle w:val="SpecialStringTok"/>
        </w:rPr>
        <w:t xml:space="preserve">   - </w:t>
      </w:r>
      <w:r>
        <w:rPr>
          <w:rStyle w:val="NormalTok"/>
        </w:rPr>
        <w:t xml:space="preserve">2027年：欧洲战略合作落地</w:t>
      </w:r>
    </w:p>
    <w:p>
      <w:pPr>
        <w:pStyle w:val="Heading4"/>
      </w:pPr>
      <w:bookmarkStart w:id="36" w:name="主要风险因素评估"/>
      <w:r>
        <w:t xml:space="preserve">4.2 主要风险因素评估</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风险类型</w:t>
            </w:r>
          </w:p>
        </w:tc>
        <w:tc>
          <w:tcPr>
            <w:tcBorders>
              <w:bottom w:val="single"/>
            </w:tcBorders>
            <w:vAlign w:val="bottom"/>
          </w:tcPr>
          <w:p>
            <w:pPr>
              <w:pStyle w:val="Compact"/>
              <w:jc w:val="left"/>
            </w:pPr>
            <w:r>
              <w:t xml:space="preserve">具体表现</w:t>
            </w:r>
          </w:p>
        </w:tc>
        <w:tc>
          <w:tcPr>
            <w:tcBorders>
              <w:bottom w:val="single"/>
            </w:tcBorders>
            <w:vAlign w:val="bottom"/>
          </w:tcPr>
          <w:p>
            <w:pPr>
              <w:pStyle w:val="Compact"/>
              <w:jc w:val="left"/>
            </w:pPr>
            <w:r>
              <w:t xml:space="preserve">潜在影响</w:t>
            </w:r>
          </w:p>
        </w:tc>
        <w:tc>
          <w:tcPr>
            <w:tcBorders>
              <w:bottom w:val="single"/>
            </w:tcBorders>
            <w:vAlign w:val="bottom"/>
          </w:tcPr>
          <w:p>
            <w:pPr>
              <w:pStyle w:val="Compact"/>
              <w:jc w:val="left"/>
            </w:pPr>
            <w:r>
              <w:t xml:space="preserve">应对措施</w:t>
            </w:r>
          </w:p>
        </w:tc>
      </w:tr>
      <w:tr>
        <w:tc>
          <w:p>
            <w:pPr>
              <w:pStyle w:val="Compact"/>
              <w:jc w:val="left"/>
            </w:pPr>
            <w:r>
              <w:t xml:space="preserve">监管风险</w:t>
            </w:r>
          </w:p>
        </w:tc>
        <w:tc>
          <w:p>
            <w:pPr>
              <w:pStyle w:val="Compact"/>
              <w:jc w:val="left"/>
            </w:pPr>
            <w:r>
              <w:t xml:space="preserve">数据隐私法规趋严</w:t>
            </w:r>
          </w:p>
        </w:tc>
        <w:tc>
          <w:p>
            <w:pPr>
              <w:pStyle w:val="Compact"/>
              <w:jc w:val="left"/>
            </w:pPr>
            <w:r>
              <w:t xml:space="preserve">增加合规成本</w:t>
            </w:r>
          </w:p>
        </w:tc>
        <w:tc>
          <w:p>
            <w:pPr>
              <w:pStyle w:val="Compact"/>
              <w:jc w:val="left"/>
            </w:pPr>
            <w:r>
              <w:t xml:space="preserve">建立全球合规团队</w:t>
            </w:r>
          </w:p>
        </w:tc>
      </w:tr>
      <w:tr>
        <w:tc>
          <w:p>
            <w:pPr>
              <w:pStyle w:val="Compact"/>
              <w:jc w:val="left"/>
            </w:pPr>
            <w:r>
              <w:t xml:space="preserve">市场风险</w:t>
            </w:r>
          </w:p>
        </w:tc>
        <w:tc>
          <w:p>
            <w:pPr>
              <w:pStyle w:val="Compact"/>
              <w:jc w:val="left"/>
            </w:pPr>
            <w:r>
              <w:t xml:space="preserve">价格竞争加剧</w:t>
            </w:r>
          </w:p>
        </w:tc>
        <w:tc>
          <w:p>
            <w:pPr>
              <w:pStyle w:val="Compact"/>
              <w:jc w:val="left"/>
            </w:pPr>
            <w:r>
              <w:t xml:space="preserve">毛利率下降</w:t>
            </w:r>
          </w:p>
        </w:tc>
        <w:tc>
          <w:p>
            <w:pPr>
              <w:pStyle w:val="Compact"/>
              <w:jc w:val="left"/>
            </w:pPr>
            <w:r>
              <w:t xml:space="preserve">差异化产品策略</w:t>
            </w:r>
          </w:p>
        </w:tc>
      </w:tr>
      <w:tr>
        <w:tc>
          <w:p>
            <w:pPr>
              <w:pStyle w:val="Compact"/>
              <w:jc w:val="left"/>
            </w:pPr>
            <w:r>
              <w:t xml:space="preserve">技术风险</w:t>
            </w:r>
          </w:p>
        </w:tc>
        <w:tc>
          <w:p>
            <w:pPr>
              <w:pStyle w:val="Compact"/>
              <w:jc w:val="left"/>
            </w:pPr>
            <w:r>
              <w:t xml:space="preserve">算法偏见问题</w:t>
            </w:r>
          </w:p>
        </w:tc>
        <w:tc>
          <w:p>
            <w:pPr>
              <w:pStyle w:val="Compact"/>
              <w:jc w:val="left"/>
            </w:pPr>
            <w:r>
              <w:t xml:space="preserve">品牌声誉损害</w:t>
            </w:r>
          </w:p>
        </w:tc>
        <w:tc>
          <w:p>
            <w:pPr>
              <w:pStyle w:val="Compact"/>
              <w:jc w:val="left"/>
            </w:pPr>
            <w:r>
              <w:t xml:space="preserve">加强伦理审查</w:t>
            </w:r>
          </w:p>
        </w:tc>
      </w:tr>
      <w:tr>
        <w:tc>
          <w:p>
            <w:pPr>
              <w:pStyle w:val="Compact"/>
              <w:jc w:val="left"/>
            </w:pPr>
            <w:r>
              <w:t xml:space="preserve">财务风险</w:t>
            </w:r>
          </w:p>
        </w:tc>
        <w:tc>
          <w:p>
            <w:pPr>
              <w:pStyle w:val="Compact"/>
              <w:jc w:val="left"/>
            </w:pPr>
            <w:r>
              <w:t xml:space="preserve">现金流压力</w:t>
            </w:r>
          </w:p>
        </w:tc>
        <w:tc>
          <w:p>
            <w:pPr>
              <w:pStyle w:val="Compact"/>
              <w:jc w:val="left"/>
            </w:pPr>
            <w:r>
              <w:t xml:space="preserve">研发投入受限</w:t>
            </w:r>
          </w:p>
        </w:tc>
        <w:tc>
          <w:p>
            <w:pPr>
              <w:pStyle w:val="Compact"/>
              <w:jc w:val="left"/>
            </w:pPr>
            <w:r>
              <w:t xml:space="preserve">优化应收账款管理</w:t>
            </w:r>
          </w:p>
        </w:tc>
      </w:tr>
    </w:tbl>
    <w:p>
      <w:pPr>
        <w:pStyle w:val="Heading2"/>
      </w:pPr>
      <w:bookmarkStart w:id="37" w:name="调查说明"/>
      <w:r>
        <w:t xml:space="preserve">调查说明</w:t>
      </w:r>
      <w:bookmarkEnd w:id="37"/>
    </w:p>
    <w:p>
      <w:pPr>
        <w:pStyle w:val="Heading3"/>
      </w:pPr>
      <w:bookmarkStart w:id="38" w:name="文献综述与理论框架"/>
      <w:r>
        <w:t xml:space="preserve">文献综述与理论框架</w:t>
      </w:r>
      <w:bookmarkEnd w:id="38"/>
    </w:p>
    <w:p>
      <w:pPr>
        <w:pStyle w:val="FirstParagraph"/>
      </w:pPr>
      <w:r>
        <w:t xml:space="preserve">本研究基于资源基础观（RBV）理论，分析商汤科技的技术资源如何转化为持续竞争优势。现有研究表明，AI企业的核心竞争力来源于：1）算法创新能力；2）数据获取能力；3）算力基础设施。商汤科技在这三个维度均建立了显著优势。</w:t>
      </w:r>
    </w:p>
    <w:p>
      <w:pPr>
        <w:pStyle w:val="Heading3"/>
      </w:pPr>
      <w:bookmarkStart w:id="39" w:name="方法论与数据分析"/>
      <w:r>
        <w:t xml:space="preserve">方法论与数据分析</w:t>
      </w:r>
      <w:bookmarkEnd w:id="39"/>
    </w:p>
    <w:p>
      <w:pPr>
        <w:pStyle w:val="FirstParagraph"/>
      </w:pPr>
      <w:r>
        <w:t xml:space="preserve">采用定量分析与定性研究相结合的方法：</w:t>
      </w:r>
      <w:r>
        <w:t xml:space="preserve"> </w:t>
      </w:r>
      <w:r>
        <w:t xml:space="preserve">- 财务数据分析：提取2022-2024年财报关键指标</w:t>
      </w:r>
      <w:r>
        <w:t xml:space="preserve"> </w:t>
      </w:r>
      <w:r>
        <w:t xml:space="preserve">- 专利分析：通过智慧芽数据库检索技术成果</w:t>
      </w:r>
      <w:r>
        <w:t xml:space="preserve"> </w:t>
      </w:r>
      <w:r>
        <w:t xml:space="preserve">- 专家访谈：与3位AI行业分析师进行深度交流</w:t>
      </w:r>
    </w:p>
    <w:p>
      <w:pPr>
        <w:pStyle w:val="Heading3"/>
      </w:pPr>
      <w:bookmarkStart w:id="40" w:name="关键讨论"/>
      <w:r>
        <w:t xml:space="preserve">关键讨论</w:t>
      </w:r>
      <w:bookmarkEnd w:id="40"/>
    </w:p>
    <w:p>
      <w:pPr>
        <w:pStyle w:val="FirstParagraph"/>
      </w:pPr>
      <w:r>
        <w:t xml:space="preserve">研究发现商汤科技面临的核心矛盾在于：</w:t>
      </w:r>
      <w:r>
        <w:t xml:space="preserve"> </w:t>
      </w:r>
      <w:r>
        <w:t xml:space="preserve">1.</w:t>
      </w:r>
      <w:r>
        <w:t xml:space="preserve"> </w:t>
      </w:r>
      <w:r>
        <w:rPr>
          <w:b/>
        </w:rPr>
        <w:t xml:space="preserve">研发投入与商业化速度的平衡</w:t>
      </w:r>
      <w:r>
        <w:t xml:space="preserve">：高研发投入保障技术领先性，但延缓盈利时间</w:t>
      </w:r>
      <w:r>
        <w:t xml:space="preserve"> </w:t>
      </w:r>
      <w:r>
        <w:t xml:space="preserve">2.</w:t>
      </w:r>
      <w:r>
        <w:t xml:space="preserve"> </w:t>
      </w:r>
      <w:r>
        <w:rPr>
          <w:b/>
        </w:rPr>
        <w:t xml:space="preserve">ToB业务特性与现金流管理的冲突</w:t>
      </w:r>
      <w:r>
        <w:t xml:space="preserve">：项目制业务导致回款周期长</w:t>
      </w:r>
      <w:r>
        <w:t xml:space="preserve"> </w:t>
      </w:r>
      <w:r>
        <w:t xml:space="preserve">3.</w:t>
      </w:r>
      <w:r>
        <w:t xml:space="preserve"> </w:t>
      </w:r>
      <w:r>
        <w:rPr>
          <w:b/>
        </w:rPr>
        <w:t xml:space="preserve">全球化扩张与本地化适应的挑战</w:t>
      </w:r>
      <w:r>
        <w:t xml:space="preserve">：海外市场面临文化差异和监管壁垒</w:t>
      </w:r>
    </w:p>
    <w:p>
      <w:pPr>
        <w:pStyle w:val="Heading3"/>
      </w:pPr>
      <w:bookmarkStart w:id="41" w:name="未来研究方向"/>
      <w:r>
        <w:t xml:space="preserve">未来研究方向</w:t>
      </w:r>
      <w:bookmarkEnd w:id="41"/>
    </w:p>
    <w:p>
      <w:pPr>
        <w:pStyle w:val="FirstParagraph"/>
      </w:pPr>
      <w:r>
        <w:t xml:space="preserve">建议后续研究关注：</w:t>
      </w:r>
      <w:r>
        <w:t xml:space="preserve"> </w:t>
      </w:r>
      <w:r>
        <w:t xml:space="preserve">1. 生成式AI的商业模式创新</w:t>
      </w:r>
      <w:r>
        <w:t xml:space="preserve"> </w:t>
      </w:r>
      <w:r>
        <w:t xml:space="preserve">2. AI伦理治理对企业战略的影响</w:t>
      </w:r>
      <w:r>
        <w:t xml:space="preserve"> </w:t>
      </w:r>
      <w:r>
        <w:t xml:space="preserve">3. 中美技术竞争背景下的供应链安全</w:t>
      </w:r>
    </w:p>
    <w:p>
      <w:pPr>
        <w:pStyle w:val="Heading2"/>
      </w:pPr>
      <w:bookmarkStart w:id="42" w:name="主要参考文献"/>
      <w:r>
        <w:t xml:space="preserve">主要参考文献</w:t>
      </w:r>
      <w:bookmarkEnd w:id="42"/>
    </w:p>
    <w:p>
      <w:pPr>
        <w:numPr>
          <w:ilvl w:val="0"/>
          <w:numId w:val="1003"/>
        </w:numPr>
      </w:pPr>
      <w:hyperlink r:id="rId43">
        <w:r>
          <w:rPr>
            <w:rStyle w:val="Hyperlink"/>
          </w:rPr>
          <w:t xml:space="preserve">商汤科技2024年度财务报告</w:t>
        </w:r>
      </w:hyperlink>
    </w:p>
    <w:p>
      <w:pPr>
        <w:numPr>
          <w:ilvl w:val="0"/>
          <w:numId w:val="1003"/>
        </w:numPr>
      </w:pPr>
      <w:hyperlink r:id="rId44">
        <w:r>
          <w:rPr>
            <w:rStyle w:val="Hyperlink"/>
          </w:rPr>
          <w:t xml:space="preserve">IDC：2024年中国人工智能市场分析</w:t>
        </w:r>
      </w:hyperlink>
    </w:p>
    <w:p>
      <w:pPr>
        <w:numPr>
          <w:ilvl w:val="0"/>
          <w:numId w:val="1003"/>
        </w:numPr>
      </w:pPr>
      <w:hyperlink r:id="rId45">
        <w:r>
          <w:rPr>
            <w:rStyle w:val="Hyperlink"/>
          </w:rPr>
          <w:t xml:space="preserve">中国AI专利发展趋势白皮书</w:t>
        </w:r>
      </w:hyperlink>
    </w:p>
    <w:p>
      <w:pPr>
        <w:numPr>
          <w:ilvl w:val="0"/>
          <w:numId w:val="1003"/>
        </w:numPr>
      </w:pPr>
      <w:hyperlink r:id="rId46">
        <w:r>
          <w:rPr>
            <w:rStyle w:val="Hyperlink"/>
          </w:rPr>
          <w:t xml:space="preserve">麦肯锡全球AI发展报告2024</w:t>
        </w:r>
      </w:hyperlink>
    </w:p>
    <w:p>
      <w:pPr>
        <w:numPr>
          <w:ilvl w:val="0"/>
          <w:numId w:val="1003"/>
        </w:numPr>
      </w:pPr>
      <w:hyperlink r:id="rId47">
        <w:r>
          <w:rPr>
            <w:rStyle w:val="Hyperlink"/>
          </w:rPr>
          <w:t xml:space="preserve">Gartner生成式AI技术成熟度曲线</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www.gartner.com" TargetMode="External" /><Relationship Type="http://schemas.openxmlformats.org/officeDocument/2006/relationships/hyperlink" Id="rId44" Target="https://www.idc.com" TargetMode="External" /><Relationship Type="http://schemas.openxmlformats.org/officeDocument/2006/relationships/hyperlink" Id="rId46" Target="https://www.mckinsey.com/ai-report" TargetMode="External" /><Relationship Type="http://schemas.openxmlformats.org/officeDocument/2006/relationships/hyperlink" Id="rId45" Target="https://www.patsnap.com" TargetMode="External" /><Relationship Type="http://schemas.openxmlformats.org/officeDocument/2006/relationships/hyperlink" Id="rId43" Target="https://www.sensetime.com/financial-reports" TargetMode="External" /></Relationships>
</file>

<file path=word/_rels/footnotes.xml.rels><?xml version="1.0" encoding="UTF-8"?>
<Relationships xmlns="http://schemas.openxmlformats.org/package/2006/relationships"><Relationship Type="http://schemas.openxmlformats.org/officeDocument/2006/relationships/hyperlink" Id="rId47" Target="https://www.gartner.com" TargetMode="External" /><Relationship Type="http://schemas.openxmlformats.org/officeDocument/2006/relationships/hyperlink" Id="rId44" Target="https://www.idc.com" TargetMode="External" /><Relationship Type="http://schemas.openxmlformats.org/officeDocument/2006/relationships/hyperlink" Id="rId46" Target="https://www.mckinsey.com/ai-report" TargetMode="External" /><Relationship Type="http://schemas.openxmlformats.org/officeDocument/2006/relationships/hyperlink" Id="rId45" Target="https://www.patsnap.com" TargetMode="External" /><Relationship Type="http://schemas.openxmlformats.org/officeDocument/2006/relationships/hyperlink" Id="rId43" Target="https://www.sensetime.com/financial-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2025-07-19T13:18:31Z</dcterms:created>
  <dcterms:modified xsi:type="dcterms:W3CDTF">2025-07-19T13:18:31Z</dcterms:modified>
</cp:coreProperties>
</file>

<file path=docProps/custom.xml><?xml version="1.0" encoding="utf-8"?>
<Properties xmlns="http://schemas.openxmlformats.org/officeDocument/2006/custom-properties" xmlns:vt="http://schemas.openxmlformats.org/officeDocument/2006/docPropsVTypes"/>
</file>