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4766" w:rsidRDefault="007B20AC">
      <w:pPr>
        <w:pStyle w:val="term"/>
        <w:shd w:val="clear" w:color="auto" w:fill="E6E6FF"/>
      </w:pPr>
      <w:proofErr w:type="spellStart"/>
      <w:proofErr w:type="gramStart"/>
      <w:r w:rsidRPr="007B20AC">
        <w:t>title</w:t>
      </w:r>
      <w:proofErr w:type="spellEnd"/>
      <w:proofErr w:type="gramEnd"/>
      <w:r w:rsidRPr="007B20AC">
        <w:t xml:space="preserve"> : Notice du </w:t>
      </w:r>
      <w:r w:rsidRPr="007B20AC">
        <w:rPr>
          <w:i/>
          <w:iCs/>
        </w:rPr>
        <w:t xml:space="preserve">Bourgeois gentilhomme </w:t>
      </w:r>
      <w:r w:rsidRPr="007B20AC">
        <w:t>de Molière.</w:t>
      </w:r>
    </w:p>
    <w:p w:rsidR="00674766" w:rsidRDefault="007B20AC">
      <w:pPr>
        <w:pStyle w:val="term"/>
        <w:shd w:val="clear" w:color="auto" w:fill="E6E6FF"/>
      </w:pPr>
      <w:proofErr w:type="spellStart"/>
      <w:proofErr w:type="gramStart"/>
      <w:r w:rsidRPr="007B20AC">
        <w:t>creator</w:t>
      </w:r>
      <w:proofErr w:type="spellEnd"/>
      <w:proofErr w:type="gramEnd"/>
      <w:r w:rsidRPr="007B20AC">
        <w:t> : Anatole de Montaiglon.</w:t>
      </w:r>
    </w:p>
    <w:p w:rsidR="00674766" w:rsidRDefault="007B20AC">
      <w:pPr>
        <w:pStyle w:val="term"/>
        <w:shd w:val="clear" w:color="auto" w:fill="E6E6FF"/>
      </w:pPr>
      <w:proofErr w:type="spellStart"/>
      <w:r w:rsidRPr="007B20AC">
        <w:t>copyeditor</w:t>
      </w:r>
      <w:proofErr w:type="spellEnd"/>
      <w:r w:rsidRPr="007B20AC">
        <w:t xml:space="preserve"> : </w:t>
      </w:r>
      <w:proofErr w:type="spellStart"/>
      <w:r w:rsidRPr="007B20AC">
        <w:t>Floria</w:t>
      </w:r>
      <w:proofErr w:type="spellEnd"/>
      <w:r w:rsidRPr="007B20AC">
        <w:t xml:space="preserve"> </w:t>
      </w:r>
      <w:proofErr w:type="spellStart"/>
      <w:proofErr w:type="gramStart"/>
      <w:r w:rsidRPr="007B20AC">
        <w:t>Benamer</w:t>
      </w:r>
      <w:proofErr w:type="spellEnd"/>
      <w:r w:rsidRPr="007B20AC">
        <w:t>(</w:t>
      </w:r>
      <w:proofErr w:type="spellStart"/>
      <w:proofErr w:type="gramEnd"/>
      <w:r w:rsidRPr="007B20AC">
        <w:t>Stylage</w:t>
      </w:r>
      <w:proofErr w:type="spellEnd"/>
      <w:r w:rsidRPr="007B20AC">
        <w:t xml:space="preserve"> sémantique) </w:t>
      </w:r>
    </w:p>
    <w:p w:rsidR="00674766" w:rsidRDefault="007B20AC">
      <w:pPr>
        <w:pStyle w:val="term"/>
        <w:shd w:val="clear" w:color="auto" w:fill="E6E6FF"/>
      </w:pPr>
      <w:proofErr w:type="spellStart"/>
      <w:proofErr w:type="gramStart"/>
      <w:r>
        <w:t>publisher</w:t>
      </w:r>
      <w:proofErr w:type="spellEnd"/>
      <w:proofErr w:type="gramEnd"/>
      <w:r>
        <w:t> : Université Paris-Sorbonne, LABEX OBVIL</w:t>
      </w:r>
    </w:p>
    <w:p w:rsidR="00674766" w:rsidRPr="007B20AC" w:rsidRDefault="007B20AC">
      <w:pPr>
        <w:pStyle w:val="term"/>
        <w:shd w:val="clear" w:color="auto" w:fill="E6E6FF"/>
        <w:rPr>
          <w:lang w:val="en-US"/>
        </w:rPr>
      </w:pPr>
      <w:proofErr w:type="gramStart"/>
      <w:r>
        <w:rPr>
          <w:lang w:val="en-US"/>
        </w:rPr>
        <w:t>issued :</w:t>
      </w:r>
      <w:proofErr w:type="gramEnd"/>
      <w:r>
        <w:rPr>
          <w:lang w:val="en-US"/>
        </w:rPr>
        <w:t xml:space="preserve"> 2016</w:t>
      </w:r>
    </w:p>
    <w:p w:rsidR="00674766" w:rsidRPr="007B20AC" w:rsidRDefault="007B20AC">
      <w:pPr>
        <w:pStyle w:val="term"/>
        <w:shd w:val="clear" w:color="auto" w:fill="E6E6FF"/>
        <w:rPr>
          <w:lang w:val="en-US"/>
        </w:rPr>
      </w:pPr>
      <w:proofErr w:type="spellStart"/>
      <w:proofErr w:type="gramStart"/>
      <w:r>
        <w:rPr>
          <w:lang w:val="en-US"/>
        </w:rPr>
        <w:t>idno</w:t>
      </w:r>
      <w:proofErr w:type="spellEnd"/>
      <w:r>
        <w:rPr>
          <w:lang w:val="en-US"/>
        </w:rPr>
        <w:t> :</w:t>
      </w:r>
      <w:proofErr w:type="gramEnd"/>
      <w:r>
        <w:rPr>
          <w:lang w:val="en-US"/>
        </w:rPr>
        <w:t xml:space="preserve"> http://obvil.paris-sorbonne.fr/corpus/</w:t>
      </w:r>
      <w:r>
        <w:rPr>
          <w:lang w:val="en-US"/>
        </w:rPr>
        <w:t>moliere/moliere-bourgeois-gentilhomme-ed-montaiglon/</w:t>
      </w:r>
    </w:p>
    <w:p w:rsidR="00674766" w:rsidRDefault="007B20AC">
      <w:pPr>
        <w:pStyle w:val="term"/>
        <w:shd w:val="clear" w:color="auto" w:fill="E6E6FF"/>
      </w:pPr>
      <w:proofErr w:type="gramStart"/>
      <w:r>
        <w:t>source</w:t>
      </w:r>
      <w:proofErr w:type="gramEnd"/>
      <w:r>
        <w:t xml:space="preserve"> : Anatole de Montaiglon (éd.), </w:t>
      </w:r>
      <w:proofErr w:type="spellStart"/>
      <w:r>
        <w:rPr>
          <w:i/>
          <w:iCs/>
        </w:rPr>
        <w:t>Oeuvres</w:t>
      </w:r>
      <w:proofErr w:type="spellEnd"/>
      <w:r>
        <w:rPr>
          <w:i/>
          <w:iCs/>
        </w:rPr>
        <w:t xml:space="preserve"> de Molière. Le Bourgeois Gentilhomme</w:t>
      </w:r>
      <w:r>
        <w:t xml:space="preserve">, Paris, Emile </w:t>
      </w:r>
      <w:proofErr w:type="spellStart"/>
      <w:r>
        <w:t>Testard</w:t>
      </w:r>
      <w:proofErr w:type="spellEnd"/>
      <w:r>
        <w:t>, éditeur, 1895.</w:t>
      </w:r>
    </w:p>
    <w:p w:rsidR="00674766" w:rsidRDefault="007B20AC">
      <w:pPr>
        <w:pStyle w:val="term"/>
        <w:shd w:val="clear" w:color="auto" w:fill="E6E6FF"/>
      </w:pPr>
      <w:proofErr w:type="spellStart"/>
      <w:proofErr w:type="gramStart"/>
      <w:r>
        <w:t>created</w:t>
      </w:r>
      <w:proofErr w:type="spellEnd"/>
      <w:proofErr w:type="gramEnd"/>
      <w:r>
        <w:t> : 1895</w:t>
      </w:r>
    </w:p>
    <w:p w:rsidR="00674766" w:rsidRDefault="007B20AC">
      <w:pPr>
        <w:pStyle w:val="term"/>
        <w:shd w:val="clear" w:color="auto" w:fill="E6E6FF"/>
        <w:jc w:val="both"/>
      </w:pPr>
      <w:proofErr w:type="spellStart"/>
      <w:proofErr w:type="gramStart"/>
      <w:r>
        <w:t>language</w:t>
      </w:r>
      <w:proofErr w:type="spellEnd"/>
      <w:proofErr w:type="gramEnd"/>
      <w:r>
        <w:t xml:space="preserve"> : </w:t>
      </w:r>
      <w:proofErr w:type="spellStart"/>
      <w:r>
        <w:t>fre</w:t>
      </w:r>
      <w:proofErr w:type="spellEnd"/>
    </w:p>
    <w:p w:rsidR="00674766" w:rsidRDefault="007B20AC">
      <w:pPr>
        <w:pStyle w:val="Corpsdetexte"/>
        <w:jc w:val="both"/>
      </w:pPr>
      <w:r>
        <w:rPr>
          <w:rStyle w:val="pb"/>
        </w:rPr>
        <w:t>$I$</w:t>
      </w:r>
      <w:r>
        <w:t xml:space="preserve"> C’est de nos jours, où l’on réglemente trop de c</w:t>
      </w:r>
      <w:r>
        <w:t>hoses, qu’on interdit aux Directeurs de Théâtre d’écrire eux-mêmes des Pièces et de les jouer. Si cette jurisprudence étroite avait existé au XVII</w:t>
      </w:r>
      <w:r>
        <w:rPr>
          <w:vertAlign w:val="superscript"/>
        </w:rPr>
        <w:t>e</w:t>
      </w:r>
      <w:r>
        <w:t> siècle, Molière n’aurait pas eu le droit d’écrire un mot, ni de faire jouer une grande Comédie, ni même le m</w:t>
      </w:r>
      <w:r>
        <w:t xml:space="preserve">oindre petit Acte. Heureusement que sa Troupe vivait de lui et que le Roi lui commandait, sans cesser, de nouvelles Pièces pour servir à ses plaisirs et à ceux de sa Cour. La Postérité ne s’en plaint pas. Voit-on la littérature française sans Molière ? Il </w:t>
      </w:r>
      <w:r>
        <w:t>doit, et nous devons beaucoup aux ordres du Roi. Que de choses il n’eût pas écrites, s’il n’avait pas eu à leur obéir ?</w:t>
      </w:r>
    </w:p>
    <w:p w:rsidR="00674766" w:rsidRDefault="007B20AC">
      <w:pPr>
        <w:pStyle w:val="Corpsdetexte"/>
        <w:jc w:val="both"/>
      </w:pPr>
      <w:r>
        <w:t xml:space="preserve">Dans sa jeunesse, il eût fait, il a peut-être fait du </w:t>
      </w:r>
      <w:r>
        <w:rPr>
          <w:i/>
        </w:rPr>
        <w:t xml:space="preserve">Bourgeois Gentilhomme </w:t>
      </w:r>
      <w:r>
        <w:t>une ou deux Farces, celle du Maître de Danse et celle du Maî</w:t>
      </w:r>
      <w:r>
        <w:t>tre de Grammaire ; ce n’eût pas été une Comédie. Dans sa pleine force, quand sa fantaisie exubérante était guidée par la sûreté de son expérience, il en a fait un chef-d’œuvre de gaîté, ce qui est le meilleur d’une Comédie.</w:t>
      </w:r>
    </w:p>
    <w:p w:rsidR="00674766" w:rsidRDefault="007B20AC">
      <w:pPr>
        <w:pStyle w:val="Corpsdetexte"/>
        <w:jc w:val="both"/>
      </w:pPr>
      <w:r>
        <w:t>La Comédie larmoyante, surtout l</w:t>
      </w:r>
      <w:r>
        <w:t xml:space="preserve">a Comédie amère, la Comédie philosophique, </w:t>
      </w:r>
      <w:r>
        <w:rPr>
          <w:rStyle w:val="pb"/>
        </w:rPr>
        <w:t>$II$</w:t>
      </w:r>
      <w:r>
        <w:t xml:space="preserve"> qui tourne au prêche et au sermon, sont presque des monstres. Les exceptions — il y en a — confirment, comme on dit, la régie.</w:t>
      </w:r>
    </w:p>
    <w:p w:rsidR="00674766" w:rsidRDefault="007B20AC">
      <w:pPr>
        <w:pStyle w:val="Corpsdetexte"/>
        <w:jc w:val="both"/>
      </w:pPr>
      <w:r>
        <w:t xml:space="preserve">Le </w:t>
      </w:r>
      <w:r>
        <w:rPr>
          <w:i/>
        </w:rPr>
        <w:t>Bourgeois Gentilhomme</w:t>
      </w:r>
      <w:r>
        <w:t xml:space="preserve"> est un chef-d’œuvre de gaîté. La Cour était à Chambord ;</w:t>
      </w:r>
      <w:r>
        <w:t xml:space="preserve"> pour l’amuser et s’amuser lui-même, le Roi y fait venir sa Troupe, plus heureuse que l’Hôtel de Bourgogne, forcé de s’adresser aux auteurs de profession, qui a eu l’honneur de jouer Corneille et Racine, mais qui a joué encore plus un tas de choses fort so</w:t>
      </w:r>
      <w:r>
        <w:t xml:space="preserve">ttes, ne comptant que dans l’érudition littéraire et dans les Biographies comme dans les Bibliographies, dont c’est l’affaire de relever tous les morts et de les enterrer dans leur grand cimetière. Le </w:t>
      </w:r>
      <w:r>
        <w:rPr>
          <w:i/>
        </w:rPr>
        <w:t>Bourgeois Gentilhomme</w:t>
      </w:r>
      <w:r>
        <w:t xml:space="preserve"> est bien toujours vivant, et pour</w:t>
      </w:r>
      <w:r>
        <w:t>tant les Pièces de son temps n’allaient pas, comme aujourd’hui, à la millième, et l’on n’en faisait pas moins de très bonnes, sinon même de meilleures. Mais combien survivront de ces succès apparents qui semblent s’éterniser, mais dont la fatigue finit par</w:t>
      </w:r>
      <w:r>
        <w:t xml:space="preserve"> s’user d’elle-même</w:t>
      </w:r>
      <w:bookmarkStart w:id="0" w:name="_GoBack"/>
      <w:bookmarkEnd w:id="0"/>
      <w:r>
        <w:t xml:space="preserve"> et qui s’éclipsent à la fin, sans jamais renaître ? Monsieur Jourdain n’est pas mort ; il a pour cela la vie trop dure. Louis XIV, qui l’aimait fort, se le faisait rejouer dans ses toutes dernières années, ce que Dangeau a noté, et </w:t>
      </w:r>
      <w:r>
        <w:rPr>
          <w:i/>
          <w:iCs/>
        </w:rPr>
        <w:t xml:space="preserve">La </w:t>
      </w:r>
      <w:r>
        <w:rPr>
          <w:i/>
        </w:rPr>
        <w:t>G</w:t>
      </w:r>
      <w:r>
        <w:rPr>
          <w:i/>
        </w:rPr>
        <w:t>azette de la Régence</w:t>
      </w:r>
      <w:r>
        <w:t xml:space="preserve"> disait un peu plus tard, à la date du 1</w:t>
      </w:r>
      <w:r>
        <w:rPr>
          <w:vertAlign w:val="superscript"/>
        </w:rPr>
        <w:t>er</w:t>
      </w:r>
      <w:r>
        <w:t xml:space="preserve"> janvier 1717 : </w:t>
      </w:r>
      <w:r>
        <w:rPr>
          <w:rStyle w:val="quotec"/>
        </w:rPr>
        <w:t xml:space="preserve">« Les Bals ne réussissent pas jusqu’à présent, et il ne s’y trouve pas de monde. Il n’en est pas de même de la Comédie du </w:t>
      </w:r>
      <w:r>
        <w:rPr>
          <w:rStyle w:val="quotec"/>
          <w:i/>
        </w:rPr>
        <w:t>Bourgeois Gentilhomme</w:t>
      </w:r>
      <w:r>
        <w:rPr>
          <w:rStyle w:val="quotec"/>
        </w:rPr>
        <w:t>,</w:t>
      </w:r>
      <w:r>
        <w:rPr>
          <w:rStyle w:val="quotec"/>
        </w:rPr>
        <w:t xml:space="preserve"> jouée mercredi dernier, où plus d</w:t>
      </w:r>
      <w:r>
        <w:rPr>
          <w:rStyle w:val="quotec"/>
        </w:rPr>
        <w:t>e six cents personnes ne purent entrer. »</w:t>
      </w:r>
      <w:r>
        <w:t xml:space="preserve"> Il n’a pas cessé de faire rire, toutes les fois qu’on l’a repris. On l’a repris souvent, et l’on continuera de le reprendre.</w:t>
      </w:r>
    </w:p>
    <w:p w:rsidR="00674766" w:rsidRDefault="007B20AC">
      <w:pPr>
        <w:pStyle w:val="Corpsdetexte"/>
        <w:jc w:val="both"/>
      </w:pPr>
      <w:r>
        <w:t>Molière, qui a plus imité Plaute et Térence qu’Aristophane, ne paraît pas avoir su le Gre</w:t>
      </w:r>
      <w:r>
        <w:t>c comme il savait le Latin ; mais Cyrano semble trop bien connaître Lucien pour que Molière l’ignorât, et, en tout cas, il a dû connaître la traduction de Lucien par Nicolas Perrot, Sieur d’</w:t>
      </w:r>
      <w:proofErr w:type="spellStart"/>
      <w:r>
        <w:t>Ablancourt</w:t>
      </w:r>
      <w:proofErr w:type="spellEnd"/>
      <w:r>
        <w:t xml:space="preserve"> — c’est une localité de la Marne près de Vitry-le-Franç</w:t>
      </w:r>
      <w:r>
        <w:t>ois — qui la fit paraître en 1654. Louis XIV aurait pu s’en faire une arme, car, dans son Dialogue de la Danse, Lucien fait l’éloge de Ballets « dansés par les Citoyens distingués et par les Magistrats ».</w:t>
      </w:r>
    </w:p>
    <w:p w:rsidR="00674766" w:rsidRDefault="007B20AC">
      <w:pPr>
        <w:pStyle w:val="Corpsdetexte"/>
        <w:jc w:val="both"/>
      </w:pPr>
      <w:r>
        <w:t>On a bien, pour la scène du Maître de Grammaire, ci</w:t>
      </w:r>
      <w:r>
        <w:t xml:space="preserve">té, dans les </w:t>
      </w:r>
      <w:r>
        <w:rPr>
          <w:i/>
        </w:rPr>
        <w:t xml:space="preserve">Nuées </w:t>
      </w:r>
      <w:r>
        <w:t xml:space="preserve">d’Aristophane, ses questions au bonhomme </w:t>
      </w:r>
      <w:proofErr w:type="spellStart"/>
      <w:r>
        <w:t>Strepsiade</w:t>
      </w:r>
      <w:proofErr w:type="spellEnd"/>
      <w:r>
        <w:t> :</w:t>
      </w:r>
    </w:p>
    <w:p w:rsidR="00674766" w:rsidRDefault="007B20AC">
      <w:pPr>
        <w:pStyle w:val="quote"/>
      </w:pPr>
      <w:r>
        <w:t xml:space="preserve">— Quelle science veux-tu d’abord apprendre de toutes celles </w:t>
      </w:r>
      <w:proofErr w:type="gramStart"/>
      <w:r>
        <w:t>qu’on t’a</w:t>
      </w:r>
      <w:proofErr w:type="gramEnd"/>
      <w:r>
        <w:t xml:space="preserve"> jamais enseignées ? Les </w:t>
      </w:r>
      <w:r>
        <w:lastRenderedPageBreak/>
        <w:t xml:space="preserve">mesures, les </w:t>
      </w:r>
      <w:proofErr w:type="spellStart"/>
      <w:r>
        <w:t>rhytmes</w:t>
      </w:r>
      <w:proofErr w:type="spellEnd"/>
      <w:r>
        <w:t xml:space="preserve"> et les vers ?… Quelle est, selon toi, la plus $III$ belle mesure, le Trimètre, ou le Tétramètre ?</w:t>
      </w:r>
      <w:r>
        <w:t xml:space="preserve"> Peut-être apprendras-tu ce qu’on entend par </w:t>
      </w:r>
      <w:proofErr w:type="spellStart"/>
      <w:r>
        <w:t>Rhytme</w:t>
      </w:r>
      <w:proofErr w:type="spellEnd"/>
      <w:r>
        <w:t xml:space="preserve">, les </w:t>
      </w:r>
      <w:proofErr w:type="spellStart"/>
      <w:r>
        <w:t>Rhytmes</w:t>
      </w:r>
      <w:proofErr w:type="spellEnd"/>
      <w:r>
        <w:t xml:space="preserve">, pour savoir ce qu’on </w:t>
      </w:r>
      <w:proofErr w:type="gramStart"/>
      <w:r>
        <w:t>entend</w:t>
      </w:r>
      <w:proofErr w:type="gramEnd"/>
      <w:r>
        <w:t xml:space="preserve"> par </w:t>
      </w:r>
      <w:proofErr w:type="spellStart"/>
      <w:r>
        <w:t>Rhytme</w:t>
      </w:r>
      <w:proofErr w:type="spellEnd"/>
      <w:r>
        <w:t xml:space="preserve"> </w:t>
      </w:r>
      <w:proofErr w:type="spellStart"/>
      <w:r>
        <w:t>Enoplien</w:t>
      </w:r>
      <w:proofErr w:type="spellEnd"/>
      <w:r>
        <w:t xml:space="preserve"> ou par </w:t>
      </w:r>
      <w:proofErr w:type="spellStart"/>
      <w:r>
        <w:t>Rhytme</w:t>
      </w:r>
      <w:proofErr w:type="spellEnd"/>
      <w:r>
        <w:t xml:space="preserve"> du Dactyle.</w:t>
      </w:r>
    </w:p>
    <w:p w:rsidR="00674766" w:rsidRDefault="007B20AC">
      <w:pPr>
        <w:pStyle w:val="Corpsdetexte"/>
        <w:jc w:val="both"/>
      </w:pPr>
      <w:r>
        <w:t>De sorte qu’il n’y a pas que Monsieur Jourdain qui fasse rire et qui soit comique. Le</w:t>
      </w:r>
      <w:r>
        <w:t xml:space="preserve">s Maîtres ne le sont pas moins que lui, malgré et surtout parleur gravité doctorale. N’y a-t-il pas quelque rapport avec le soixante-quatrième Dialogue de Lucien, </w:t>
      </w:r>
      <w:r>
        <w:rPr>
          <w:i/>
        </w:rPr>
        <w:t xml:space="preserve">Les Sectes à </w:t>
      </w:r>
      <w:proofErr w:type="spellStart"/>
      <w:r>
        <w:rPr>
          <w:i/>
        </w:rPr>
        <w:t>Vencan</w:t>
      </w:r>
      <w:proofErr w:type="spellEnd"/>
      <w:r>
        <w:t xml:space="preserve">, entre Pythagore et le Marchand, ce qu’a été </w:t>
      </w:r>
      <w:r>
        <w:rPr>
          <w:i/>
        </w:rPr>
        <w:t>Le Bourgeois Gentilhomme</w:t>
      </w:r>
      <w:r>
        <w:t xml:space="preserve"> qui</w:t>
      </w:r>
      <w:r>
        <w:t xml:space="preserve"> n’avait vendu du drap qu’à ses amis :</w:t>
      </w:r>
    </w:p>
    <w:p w:rsidR="00674766" w:rsidRDefault="007B20AC">
      <w:pPr>
        <w:pStyle w:val="quote"/>
      </w:pPr>
      <w:r>
        <w:t>— Que m’enseigneras-tu ?</w:t>
      </w:r>
    </w:p>
    <w:p w:rsidR="00674766" w:rsidRDefault="007B20AC">
      <w:pPr>
        <w:pStyle w:val="quote"/>
      </w:pPr>
      <w:r>
        <w:t>— Je ne t’enseignerai rien ; je te ferai ressouvenir.</w:t>
      </w:r>
    </w:p>
    <w:p w:rsidR="00674766" w:rsidRDefault="007B20AC">
      <w:pPr>
        <w:pStyle w:val="quote"/>
      </w:pPr>
      <w:r>
        <w:t>— Comment me feras-tu ressouvenir ?</w:t>
      </w:r>
    </w:p>
    <w:p w:rsidR="00674766" w:rsidRDefault="007B20AC">
      <w:pPr>
        <w:pStyle w:val="quote"/>
      </w:pPr>
      <w:r>
        <w:t>— En purifiant d’abord ton âme.</w:t>
      </w:r>
    </w:p>
    <w:p w:rsidR="00674766" w:rsidRDefault="007B20AC">
      <w:pPr>
        <w:pStyle w:val="quote"/>
      </w:pPr>
      <w:r>
        <w:t xml:space="preserve">— Imagines qu’elle est purifiée. Comment me donneras-tu la </w:t>
      </w:r>
      <w:r>
        <w:t>réminiscence ?</w:t>
      </w:r>
    </w:p>
    <w:p w:rsidR="00674766" w:rsidRDefault="007B20AC">
      <w:pPr>
        <w:pStyle w:val="quote"/>
      </w:pPr>
      <w:r>
        <w:t>— En commençant par t’imposer un mutisme parfait, le mutisme absolu de cinq années.</w:t>
      </w:r>
    </w:p>
    <w:p w:rsidR="00674766" w:rsidRDefault="007B20AC">
      <w:pPr>
        <w:pStyle w:val="quote"/>
      </w:pPr>
      <w:r>
        <w:t>— Je veux être un homme qui parle. Mais, après un silence de cinq ans, que ferai-je ?</w:t>
      </w:r>
    </w:p>
    <w:p w:rsidR="00674766" w:rsidRDefault="007B20AC">
      <w:pPr>
        <w:pStyle w:val="quote"/>
      </w:pPr>
      <w:r>
        <w:t xml:space="preserve">— Tu t’exerceras à la Musique et à la Géométrie. Il faut commencer par </w:t>
      </w:r>
      <w:r>
        <w:t>être Musicien pour être sage. Ensuite, tu apprendras à compter.</w:t>
      </w:r>
    </w:p>
    <w:p w:rsidR="00674766" w:rsidRDefault="007B20AC">
      <w:pPr>
        <w:pStyle w:val="quote"/>
      </w:pPr>
      <w:r>
        <w:t>— Je sais compter.</w:t>
      </w:r>
    </w:p>
    <w:p w:rsidR="00674766" w:rsidRDefault="007B20AC">
      <w:pPr>
        <w:pStyle w:val="quote"/>
      </w:pPr>
      <w:r>
        <w:t>— Comment comptes-tu ?</w:t>
      </w:r>
    </w:p>
    <w:p w:rsidR="00674766" w:rsidRDefault="007B20AC">
      <w:pPr>
        <w:pStyle w:val="quote"/>
      </w:pPr>
      <w:r>
        <w:t>— Un, deux, trois, quatre...</w:t>
      </w:r>
    </w:p>
    <w:p w:rsidR="00674766" w:rsidRDefault="007B20AC">
      <w:pPr>
        <w:pStyle w:val="quote"/>
      </w:pPr>
      <w:r>
        <w:t>— Ce que tu crois être quatre, c’est dix. C’est le Triangle parfait ; c’est notre Serment.</w:t>
      </w:r>
    </w:p>
    <w:p w:rsidR="00674766" w:rsidRDefault="007B20AC">
      <w:pPr>
        <w:pStyle w:val="quote"/>
      </w:pPr>
      <w:r>
        <w:t xml:space="preserve">— J’en jure </w:t>
      </w:r>
      <w:r>
        <w:rPr>
          <w:i/>
        </w:rPr>
        <w:t>Par Quatre</w:t>
      </w:r>
      <w:r>
        <w:t xml:space="preserve">. Je </w:t>
      </w:r>
      <w:r>
        <w:t>n’ai jamais ouï langage plus divin et plus sacré.</w:t>
      </w:r>
    </w:p>
    <w:p w:rsidR="00674766" w:rsidRDefault="007B20AC">
      <w:pPr>
        <w:pStyle w:val="quote"/>
      </w:pPr>
      <w:r>
        <w:t>— Ensuite, tu sauras ce que c’est que la Terre, l’Air, l’Eau et le Feu ; quelle est leur forme, leur mouvement naturel et comment ils se meuvent.’</w:t>
      </w:r>
    </w:p>
    <w:p w:rsidR="00674766" w:rsidRDefault="007B20AC">
      <w:pPr>
        <w:pStyle w:val="quote"/>
      </w:pPr>
      <w:r>
        <w:t>— Le Feu, l’Air, la Terre et l’Eau ont donc une forme ?</w:t>
      </w:r>
    </w:p>
    <w:p w:rsidR="00674766" w:rsidRDefault="007B20AC">
      <w:pPr>
        <w:pStyle w:val="quote"/>
      </w:pPr>
      <w:r>
        <w:t>— T</w:t>
      </w:r>
      <w:r>
        <w:t>rès visible. Autrement, sans forme et sans apparence, ils ne pourraient pas se mouvoir. De plus, tu sauras que la Divinité est un Nombre et une Harmonie.</w:t>
      </w:r>
    </w:p>
    <w:p w:rsidR="00674766" w:rsidRDefault="007B20AC">
      <w:pPr>
        <w:pStyle w:val="quote"/>
      </w:pPr>
      <w:r>
        <w:t>— Voilà qui est étonnant.</w:t>
      </w:r>
    </w:p>
    <w:p w:rsidR="00674766" w:rsidRDefault="007B20AC">
      <w:pPr>
        <w:pStyle w:val="Corpsdetexte"/>
        <w:jc w:val="both"/>
      </w:pPr>
      <w:r>
        <w:t>Monsieur Jourdain ne s’étonne pas moins sur la façon de prononcer les lettre</w:t>
      </w:r>
      <w:r>
        <w:t xml:space="preserve">s de l’Alphabet, ce qui vient d’ailleurs d’un livre contemporain, le Discours physique de la parole, dédié au Roi en 1668 par l’un de ses </w:t>
      </w:r>
      <w:r>
        <w:rPr>
          <w:i/>
        </w:rPr>
        <w:t>Lecteurs</w:t>
      </w:r>
      <w:r>
        <w:t>,</w:t>
      </w:r>
      <w:r>
        <w:t xml:space="preserve"> le philosophe cartésien, Géraud de Cordemoy.</w:t>
      </w:r>
    </w:p>
    <w:p w:rsidR="00674766" w:rsidRDefault="007B20AC">
      <w:pPr>
        <w:pStyle w:val="Corpsdetexte"/>
        <w:jc w:val="both"/>
      </w:pPr>
      <w:r>
        <w:t>Si Molière s’est là servi d’un autre, il s’est souvenu de lui-m</w:t>
      </w:r>
      <w:r>
        <w:t xml:space="preserve">ême en </w:t>
      </w:r>
      <w:r>
        <w:rPr>
          <w:rStyle w:val="pb"/>
        </w:rPr>
        <w:t>$IV$</w:t>
      </w:r>
      <w:r>
        <w:t xml:space="preserve"> reprenant à nouveau, entre Lucile et </w:t>
      </w:r>
      <w:proofErr w:type="spellStart"/>
      <w:r>
        <w:t>Cléonte</w:t>
      </w:r>
      <w:proofErr w:type="spellEnd"/>
      <w:r>
        <w:t>, son thème favori du dépit amoureux.</w:t>
      </w:r>
    </w:p>
    <w:p w:rsidR="00674766" w:rsidRDefault="007B20AC">
      <w:pPr>
        <w:pStyle w:val="Corpsdetexte"/>
        <w:jc w:val="both"/>
      </w:pPr>
      <w:r>
        <w:t xml:space="preserve">Le Titre de la Pièce porte : </w:t>
      </w:r>
      <w:r>
        <w:rPr>
          <w:i/>
        </w:rPr>
        <w:t>Faite à Chambord pour le divertissement du Roi</w:t>
      </w:r>
      <w:r w:rsidRPr="007B20AC">
        <w:t> ;</w:t>
      </w:r>
      <w:r>
        <w:t xml:space="preserve"> cela veut dire </w:t>
      </w:r>
      <w:r>
        <w:rPr>
          <w:i/>
        </w:rPr>
        <w:t>représentée</w:t>
      </w:r>
      <w:r>
        <w:t>. La Troupe, qu’on a fait venir et qui est arrivée le 3 oc</w:t>
      </w:r>
      <w:r>
        <w:t>tobre 1670, en est revenue le 28. Selon l’exact Robinet, la Pièce y fut jouée, pour la première fois, le mardi 14 octobre.</w:t>
      </w:r>
    </w:p>
    <w:p w:rsidR="00674766" w:rsidRDefault="007B20AC">
      <w:pPr>
        <w:pStyle w:val="Corpsdetexte"/>
        <w:jc w:val="both"/>
      </w:pPr>
      <w:r>
        <w:t xml:space="preserve">Si facile qu’ait été le génie de Molière et si rapide que fût pour lui </w:t>
      </w:r>
      <w:r>
        <w:rPr>
          <w:i/>
        </w:rPr>
        <w:t>Y écriture</w:t>
      </w:r>
      <w:r>
        <w:t xml:space="preserve"> quand son plan était combiné et tracé, il est diff</w:t>
      </w:r>
      <w:r>
        <w:t xml:space="preserve">icile d’admettre qu’il ait mis sur pied le </w:t>
      </w:r>
      <w:r>
        <w:rPr>
          <w:i/>
        </w:rPr>
        <w:t>Bourgeois</w:t>
      </w:r>
      <w:r>
        <w:t xml:space="preserve"> en dix jours du 3 au 14. Il y avait, de plus, la musique à écrire et à apprendre, les costumes des Acteurs et des Danseurs à faire couper et à faire coudre, les danses à faire répéter. Molière a pu y met</w:t>
      </w:r>
      <w:r>
        <w:t>tre la dernière main à Chambord, mais il avait dû l’apporter avec lui dans sa valise.</w:t>
      </w:r>
    </w:p>
    <w:p w:rsidR="00674766" w:rsidRDefault="007B20AC">
      <w:pPr>
        <w:pStyle w:val="Corpsdetexte"/>
        <w:jc w:val="both"/>
      </w:pPr>
      <w:r>
        <w:t>Après la représentation du 14 octobre, elle y fut, ainsi que nous l’apprend la Gazette, jouée trois autres fois, le 16, le 20 et le 21. Après avoir parlé des représentati</w:t>
      </w:r>
      <w:r>
        <w:t>ons, à Versailles, par les Acteurs de l’Hôtel, Robinet ajoute, dans sa Lettre du 15 novembre :</w:t>
      </w:r>
    </w:p>
    <w:p w:rsidR="00674766" w:rsidRDefault="007B20AC">
      <w:pPr>
        <w:pStyle w:val="quotel"/>
      </w:pPr>
      <w:r>
        <w:t>Et que ceux du Palais Royal,</w:t>
      </w:r>
    </w:p>
    <w:p w:rsidR="00674766" w:rsidRDefault="007B20AC">
      <w:pPr>
        <w:pStyle w:val="quotel"/>
      </w:pPr>
      <w:r>
        <w:t>Chez qui Molière est sans égal,</w:t>
      </w:r>
    </w:p>
    <w:p w:rsidR="00674766" w:rsidRDefault="007B20AC">
      <w:pPr>
        <w:pStyle w:val="quotel"/>
      </w:pPr>
      <w:r>
        <w:t xml:space="preserve">Ont fait, à Saint-Germain, de </w:t>
      </w:r>
      <w:proofErr w:type="spellStart"/>
      <w:r>
        <w:t>mesmes</w:t>
      </w:r>
      <w:proofErr w:type="spellEnd"/>
      <w:r>
        <w:t>,</w:t>
      </w:r>
    </w:p>
    <w:p w:rsidR="00674766" w:rsidRDefault="007B20AC">
      <w:pPr>
        <w:pStyle w:val="quotel"/>
        <w:rPr>
          <w:i/>
        </w:rPr>
      </w:pPr>
      <w:r>
        <w:t>Au gré des Porte-Diadèmes</w:t>
      </w:r>
    </w:p>
    <w:p w:rsidR="00674766" w:rsidRDefault="007B20AC">
      <w:pPr>
        <w:pStyle w:val="quotel"/>
      </w:pPr>
      <w:r>
        <w:t xml:space="preserve">Dans la régale de </w:t>
      </w:r>
      <w:proofErr w:type="spellStart"/>
      <w:r>
        <w:t>Chambor</w:t>
      </w:r>
      <w:proofErr w:type="spellEnd"/>
      <w:r>
        <w:t>,</w:t>
      </w:r>
    </w:p>
    <w:p w:rsidR="00674766" w:rsidRDefault="007B20AC">
      <w:pPr>
        <w:pStyle w:val="quotel"/>
        <w:rPr>
          <w:i/>
        </w:rPr>
      </w:pPr>
      <w:r>
        <w:t xml:space="preserve">Qui plut </w:t>
      </w:r>
      <w:r>
        <w:t xml:space="preserve">alors beaucoup </w:t>
      </w:r>
      <w:proofErr w:type="spellStart"/>
      <w:r>
        <w:t>encor</w:t>
      </w:r>
      <w:proofErr w:type="spellEnd"/>
    </w:p>
    <w:p w:rsidR="00674766" w:rsidRDefault="007B20AC">
      <w:pPr>
        <w:pStyle w:val="quotel"/>
      </w:pPr>
      <w:r>
        <w:t>Et qu’ici nous aurons en somme,</w:t>
      </w:r>
    </w:p>
    <w:p w:rsidR="00674766" w:rsidRDefault="007B20AC">
      <w:pPr>
        <w:pStyle w:val="quotel"/>
      </w:pPr>
      <w:r>
        <w:t xml:space="preserve">Savoir </w:t>
      </w:r>
      <w:r>
        <w:rPr>
          <w:i/>
          <w:iCs/>
        </w:rPr>
        <w:t>Le Bourgeois Gentilhomme.</w:t>
      </w:r>
    </w:p>
    <w:p w:rsidR="00674766" w:rsidRDefault="007B20AC">
      <w:pPr>
        <w:pStyle w:val="Corpsdetexte"/>
        <w:jc w:val="both"/>
      </w:pPr>
      <w:r>
        <w:lastRenderedPageBreak/>
        <w:t xml:space="preserve">Ajoutons, d’après les Notes de </w:t>
      </w:r>
      <w:proofErr w:type="spellStart"/>
      <w:r>
        <w:t>Trallage</w:t>
      </w:r>
      <w:proofErr w:type="spellEnd"/>
      <w:r>
        <w:t>, que, si les vers, italiens sont de Molière et de Lulli, les vers espagnols sont de Molière.</w:t>
      </w:r>
    </w:p>
    <w:p w:rsidR="00674766" w:rsidRDefault="007B20AC">
      <w:pPr>
        <w:pStyle w:val="Corpsdetexte"/>
        <w:jc w:val="both"/>
      </w:pPr>
      <w:r>
        <w:t>La Pièce, venue ensuite à Paris le 25</w:t>
      </w:r>
      <w:r>
        <w:t xml:space="preserve"> novembre, fut jouée sept fois jusqu’au 23 décembre. En 1671, elle fut jouée vingt-sept fois, entrecoupées de </w:t>
      </w:r>
      <w:r>
        <w:rPr>
          <w:i/>
        </w:rPr>
        <w:t>Psyché</w:t>
      </w:r>
      <w:r>
        <w:t>,</w:t>
      </w:r>
      <w:r>
        <w:t xml:space="preserve"> et huit fois en 1672. Elle était montée à la Ville presque aussi richement qu’à la Cour, nous dit encore Robinet, et ce faste avait coûté </w:t>
      </w:r>
      <w:r>
        <w:t xml:space="preserve">cher au Roi. Un Compte de dépenses des « Menus », en 1670, pour </w:t>
      </w:r>
      <w:r>
        <w:rPr>
          <w:i/>
        </w:rPr>
        <w:t>Le Bourgeois Gentilhomme</w:t>
      </w:r>
      <w:r>
        <w:t xml:space="preserve"> et pour les Comédiens de l’Hôtel de Bourgogne, monte à la somme, plus que respectable, de quarante-neuf mille quatre cent quatre livres, dans laquelle la Pièce de Moli</w:t>
      </w:r>
      <w:r>
        <w:t xml:space="preserve">ère a </w:t>
      </w:r>
      <w:r>
        <w:rPr>
          <w:rStyle w:val="pb"/>
        </w:rPr>
        <w:t>$V$</w:t>
      </w:r>
      <w:r>
        <w:t xml:space="preserve"> dû certainement avoir la plus grosse part. En 1716, l’Acteur Quinault eut la hardiesse et le tort de changer les Divertissements ; il doit avoir eu pour excuse la nécessité d’une moindre dépense.</w:t>
      </w:r>
    </w:p>
    <w:p w:rsidR="00674766" w:rsidRDefault="007B20AC">
      <w:pPr>
        <w:pStyle w:val="Corpsdetexte"/>
        <w:jc w:val="both"/>
      </w:pPr>
      <w:r>
        <w:t>Molière n’est pas le premier qui ait mis sur le Th</w:t>
      </w:r>
      <w:r>
        <w:t xml:space="preserve">éâtre des mots à la Turque. Rotrou lui en avait donné l’exemple dans son élégante Comédie de </w:t>
      </w:r>
      <w:r>
        <w:rPr>
          <w:i/>
        </w:rPr>
        <w:t>La Sœur</w:t>
      </w:r>
      <w:r>
        <w:t>,</w:t>
      </w:r>
      <w:r>
        <w:t xml:space="preserve"> à qui Molière en a même emprunté quelques-uns, et ce n’est pas d’eux seulement que Molière s’est ressouvenu.</w:t>
      </w:r>
    </w:p>
    <w:p w:rsidR="00674766" w:rsidRDefault="007B20AC">
      <w:pPr>
        <w:pStyle w:val="Corpsdetexte"/>
        <w:jc w:val="both"/>
      </w:pPr>
      <w:r>
        <w:t xml:space="preserve">Quand </w:t>
      </w:r>
      <w:proofErr w:type="spellStart"/>
      <w:r>
        <w:t>Covielle</w:t>
      </w:r>
      <w:proofErr w:type="spellEnd"/>
      <w:r>
        <w:t xml:space="preserve"> dit que </w:t>
      </w:r>
      <w:r>
        <w:rPr>
          <w:rStyle w:val="quotec"/>
        </w:rPr>
        <w:t>« la Langue Turque dit</w:t>
      </w:r>
      <w:r>
        <w:rPr>
          <w:rStyle w:val="quotec"/>
        </w:rPr>
        <w:t xml:space="preserve"> beaucoup en peu de paroles »</w:t>
      </w:r>
      <w:r>
        <w:t>, le vieil Anselme avait dit à Ergaste :</w:t>
      </w:r>
    </w:p>
    <w:p w:rsidR="00674766" w:rsidRDefault="007B20AC">
      <w:pPr>
        <w:pStyle w:val="quotel"/>
      </w:pPr>
      <w:r>
        <w:t xml:space="preserve">T’en a-t-il pu tant dire en si peu de propos ? </w:t>
      </w:r>
    </w:p>
    <w:p w:rsidR="00674766" w:rsidRDefault="007B20AC">
      <w:pPr>
        <w:pStyle w:val="Corpsdetexte"/>
        <w:jc w:val="both"/>
      </w:pPr>
      <w:proofErr w:type="gramStart"/>
      <w:r>
        <w:t>et</w:t>
      </w:r>
      <w:proofErr w:type="gramEnd"/>
      <w:r>
        <w:t xml:space="preserve"> celui-ci avait répondu :</w:t>
      </w:r>
    </w:p>
    <w:p w:rsidR="00674766" w:rsidRDefault="007B20AC">
      <w:pPr>
        <w:pStyle w:val="quotel"/>
      </w:pPr>
      <w:r>
        <w:t>Oui ; le langage Turc dit beaucoup en deux mots.</w:t>
      </w:r>
    </w:p>
    <w:p w:rsidR="00674766" w:rsidRDefault="007B20AC">
      <w:pPr>
        <w:pStyle w:val="Corpsdetexte"/>
        <w:jc w:val="both"/>
      </w:pPr>
      <w:r>
        <w:t xml:space="preserve">C’est le nombre même des syllabes du </w:t>
      </w:r>
      <w:r>
        <w:rPr>
          <w:i/>
        </w:rPr>
        <w:t>Bel men</w:t>
      </w:r>
      <w:r>
        <w:t xml:space="preserve"> du jeune </w:t>
      </w:r>
      <w:proofErr w:type="spellStart"/>
      <w:r>
        <w:t>Cléonte</w:t>
      </w:r>
      <w:proofErr w:type="spellEnd"/>
      <w:r>
        <w:t xml:space="preserve"> de Molière, et, quand Madame Jourdain dit à son Mari : </w:t>
      </w:r>
      <w:r>
        <w:rPr>
          <w:rStyle w:val="quotec"/>
        </w:rPr>
        <w:t>« Est-ce un Momon que vous allez porter ? »</w:t>
      </w:r>
      <w:r>
        <w:t>, elle répète presque ces autres paroles de l’Anselme de Rotrou :</w:t>
      </w:r>
    </w:p>
    <w:p w:rsidR="00674766" w:rsidRDefault="007B20AC">
      <w:pPr>
        <w:pStyle w:val="quotel"/>
      </w:pPr>
      <w:r>
        <w:t>A quoi ces habits Turcs ? Donnez-vous un Ballet ?</w:t>
      </w:r>
    </w:p>
    <w:p w:rsidR="00674766" w:rsidRDefault="007B20AC">
      <w:pPr>
        <w:pStyle w:val="quotel"/>
      </w:pPr>
      <w:r>
        <w:t>Portez-vous un Momon ?</w:t>
      </w:r>
    </w:p>
    <w:p w:rsidR="00674766" w:rsidRDefault="007B20AC">
      <w:pPr>
        <w:pStyle w:val="Corpsdetexte"/>
        <w:jc w:val="both"/>
      </w:pPr>
      <w:r>
        <w:t>Q</w:t>
      </w:r>
      <w:r>
        <w:t xml:space="preserve">uant à la Cérémonie Turque, c’est une erreur de la faire venir d’un passage du </w:t>
      </w:r>
      <w:proofErr w:type="spellStart"/>
      <w:r>
        <w:rPr>
          <w:i/>
        </w:rPr>
        <w:t>Francion</w:t>
      </w:r>
      <w:proofErr w:type="spellEnd"/>
      <w:r>
        <w:t xml:space="preserve"> de Sorel, qui n’a rien à y voir. Quoique les </w:t>
      </w:r>
      <w:r>
        <w:rPr>
          <w:i/>
        </w:rPr>
        <w:t>Mémoires</w:t>
      </w:r>
      <w:r>
        <w:t xml:space="preserve"> du Chevalier d’</w:t>
      </w:r>
      <w:proofErr w:type="spellStart"/>
      <w:r>
        <w:t>Arvieux</w:t>
      </w:r>
      <w:proofErr w:type="spellEnd"/>
      <w:r>
        <w:t>, mort en 1702, n’aient été imprimés par le P. Labat qu’en 1735, Molière le connut personnel</w:t>
      </w:r>
      <w:r>
        <w:t xml:space="preserve">lement, et c’est à lui qu’il en doit être redevable. Son audience de départ eut lieu le 31 mai 1670, mais, à celle de l’audience antérieure de novembre 1669, le Roi, l’interrogeant sur les manières des Turcs, riait </w:t>
      </w:r>
      <w:r>
        <w:rPr>
          <w:rStyle w:val="quotec"/>
        </w:rPr>
        <w:t>« mais mo</w:t>
      </w:r>
      <w:r>
        <w:rPr>
          <w:rStyle w:val="quotec"/>
        </w:rPr>
        <w:t>dérément »</w:t>
      </w:r>
      <w:r>
        <w:t>, aussi bien que M</w:t>
      </w:r>
      <w:r>
        <w:rPr>
          <w:vertAlign w:val="superscript"/>
        </w:rPr>
        <w:t>me</w:t>
      </w:r>
      <w:r>
        <w:t xml:space="preserve"> d</w:t>
      </w:r>
      <w:r>
        <w:t xml:space="preserve">e La </w:t>
      </w:r>
      <w:proofErr w:type="spellStart"/>
      <w:r>
        <w:t>Vallière</w:t>
      </w:r>
      <w:proofErr w:type="spellEnd"/>
      <w:r>
        <w:t> ; mais le Frère du Roi et M</w:t>
      </w:r>
      <w:r>
        <w:rPr>
          <w:vertAlign w:val="superscript"/>
        </w:rPr>
        <w:t>me</w:t>
      </w:r>
      <w:r>
        <w:t xml:space="preserve"> de Montespan</w:t>
      </w:r>
      <w:r>
        <w:rPr>
          <w:rStyle w:val="quotec"/>
        </w:rPr>
        <w:t xml:space="preserve"> « faisaient des éclats de rire qu’on aurait entendus de deux cents pas »</w:t>
      </w:r>
      <w:r>
        <w:t>. Molière ne se serait-il pas trouvé présent à cette audience ?</w:t>
      </w:r>
    </w:p>
    <w:p w:rsidR="00674766" w:rsidRDefault="007B20AC">
      <w:pPr>
        <w:pStyle w:val="Corpsdetexte"/>
        <w:jc w:val="both"/>
      </w:pPr>
      <w:r>
        <w:t>D’ailleurs le Chevalier d’</w:t>
      </w:r>
      <w:proofErr w:type="spellStart"/>
      <w:r>
        <w:t>Arvieux</w:t>
      </w:r>
      <w:proofErr w:type="spellEnd"/>
      <w:r>
        <w:t>, qui ne manquait pas d’amour-</w:t>
      </w:r>
      <w:r>
        <w:t xml:space="preserve">propre, a écrit dans ses </w:t>
      </w:r>
      <w:r>
        <w:rPr>
          <w:i/>
        </w:rPr>
        <w:t>Mémoires</w:t>
      </w:r>
      <w:r>
        <w:t xml:space="preserve"> : </w:t>
      </w:r>
      <w:r>
        <w:rPr>
          <w:rStyle w:val="quotec"/>
        </w:rPr>
        <w:t>« Sa Majesté m’ordonna de me joindre à MM. de Molière et Lulli pour composer une Pièce de Théâtre où l’on pût faire entrer quelque chose des habillements et des manières des</w:t>
      </w:r>
      <w:r>
        <w:t xml:space="preserve"> </w:t>
      </w:r>
      <w:r>
        <w:rPr>
          <w:rStyle w:val="pb"/>
        </w:rPr>
        <w:t>$VI$</w:t>
      </w:r>
      <w:r>
        <w:t xml:space="preserve"> </w:t>
      </w:r>
      <w:r>
        <w:rPr>
          <w:rStyle w:val="quotec"/>
        </w:rPr>
        <w:t>Turcs. Je me rendis, pour cet effet, au v</w:t>
      </w:r>
      <w:r>
        <w:rPr>
          <w:rStyle w:val="quotec"/>
        </w:rPr>
        <w:t xml:space="preserve">illage d’Auteuil, où M. de Molière avait une maison fort jolie. Ce fut là que nous travaillâmes à cette Pièce de Théâtre que l’on voit, dans les œuvres de Molière, sous le titre du </w:t>
      </w:r>
      <w:r>
        <w:rPr>
          <w:rStyle w:val="quotec"/>
          <w:i/>
        </w:rPr>
        <w:t>Bourgeois Gentilhomme</w:t>
      </w:r>
      <w:r>
        <w:rPr>
          <w:rStyle w:val="quotec"/>
        </w:rPr>
        <w:t>. »</w:t>
      </w:r>
      <w:r>
        <w:t xml:space="preserve"> A écouter le Chevalier d’</w:t>
      </w:r>
      <w:proofErr w:type="spellStart"/>
      <w:r>
        <w:t>Arvieux</w:t>
      </w:r>
      <w:proofErr w:type="spellEnd"/>
      <w:r>
        <w:t>, ne croirait-on p</w:t>
      </w:r>
      <w:r>
        <w:t>as que c’est lui qui a écrit la Pièce ?</w:t>
      </w:r>
    </w:p>
    <w:p w:rsidR="00674766" w:rsidRDefault="007B20AC">
      <w:pPr>
        <w:pStyle w:val="Corpsdetexte"/>
        <w:jc w:val="both"/>
      </w:pPr>
      <w:r>
        <w:t xml:space="preserve">Il a paru en 1715 à Paris, chez Jacques </w:t>
      </w:r>
      <w:proofErr w:type="spellStart"/>
      <w:r>
        <w:t>Collombat</w:t>
      </w:r>
      <w:proofErr w:type="spellEnd"/>
      <w:r>
        <w:t xml:space="preserve">, un recueil, dont les tableaux avaient été peints en 1707 et 1708 par les ordres de M. de </w:t>
      </w:r>
      <w:proofErr w:type="spellStart"/>
      <w:r>
        <w:t>Ferriol</w:t>
      </w:r>
      <w:proofErr w:type="spellEnd"/>
      <w:r>
        <w:t>, notre Ambassadeur à Constantinople, de cent Estampes représentant d</w:t>
      </w:r>
      <w:r>
        <w:t xml:space="preserve">ifférentes Nations du Levant — elles avaient été publiées une première fois l’année précédente — « avec de nouvelles Estampes de Cérémonies Turques, qui ont aussi leur explication ». C’est un volume que ceux qui se trouveront avoir à remonter </w:t>
      </w:r>
      <w:r>
        <w:rPr>
          <w:i/>
        </w:rPr>
        <w:t xml:space="preserve">Le Bourgeois </w:t>
      </w:r>
      <w:r>
        <w:rPr>
          <w:i/>
        </w:rPr>
        <w:t xml:space="preserve">Gentilhomme </w:t>
      </w:r>
      <w:r>
        <w:t>feront bien d’indiquer comme source aux Dessinateurs et Costumiers.</w:t>
      </w:r>
    </w:p>
    <w:p w:rsidR="00674766" w:rsidRDefault="007B20AC">
      <w:pPr>
        <w:pStyle w:val="Corpsdetexte"/>
        <w:jc w:val="both"/>
      </w:pPr>
      <w:r>
        <w:t>Et comme il devait être joué à l’origine devant la Cour et devant les Bourgeois de la Ville ! Hubert, chargé des rôles féminins marqués, faisait M</w:t>
      </w:r>
      <w:r>
        <w:rPr>
          <w:vertAlign w:val="superscript"/>
        </w:rPr>
        <w:t>me</w:t>
      </w:r>
      <w:r>
        <w:t xml:space="preserve"> Jourdain, dont il devait fa</w:t>
      </w:r>
      <w:r>
        <w:t xml:space="preserve">ire ressortir vertement les honnêtes coups de boutoir. Le rôle de Dorante, qui n’est plus un écervelé de jeune Marquis, ni un jeune </w:t>
      </w:r>
      <w:r>
        <w:lastRenderedPageBreak/>
        <w:t>Amoureux tendrement élégant, mais un vilain Homme de Cour, très volontairement indélicat vis à vis de M. Jourdain et menteur</w:t>
      </w:r>
      <w:r>
        <w:t xml:space="preserve"> vis à vis de Dorimène, avait été créé par La Grange pour le sauver par son bon air et ses belles manières, laissant l’aimable rôle de </w:t>
      </w:r>
      <w:proofErr w:type="spellStart"/>
      <w:r>
        <w:t>Clé</w:t>
      </w:r>
      <w:r>
        <w:t>nte</w:t>
      </w:r>
      <w:proofErr w:type="spellEnd"/>
      <w:r>
        <w:t xml:space="preserve"> à son camarade </w:t>
      </w:r>
      <w:proofErr w:type="spellStart"/>
      <w:r>
        <w:t>Dauvilliers</w:t>
      </w:r>
      <w:proofErr w:type="spellEnd"/>
      <w:r>
        <w:t xml:space="preserve"> dont le nom s’est plus qu’effacé. Au XVIII</w:t>
      </w:r>
      <w:r>
        <w:rPr>
          <w:vertAlign w:val="superscript"/>
        </w:rPr>
        <w:t>e</w:t>
      </w:r>
      <w:r>
        <w:t> </w:t>
      </w:r>
      <w:r>
        <w:t>siècle, M</w:t>
      </w:r>
      <w:r>
        <w:rPr>
          <w:vertAlign w:val="superscript"/>
        </w:rPr>
        <w:t>lle</w:t>
      </w:r>
      <w:r>
        <w:t xml:space="preserve"> </w:t>
      </w:r>
      <w:proofErr w:type="spellStart"/>
      <w:r>
        <w:t>Bellecour</w:t>
      </w:r>
      <w:proofErr w:type="spellEnd"/>
      <w:r>
        <w:t>, de nos jours Augus</w:t>
      </w:r>
      <w:r>
        <w:t>tine Brohan et M</w:t>
      </w:r>
      <w:r>
        <w:rPr>
          <w:vertAlign w:val="superscript"/>
        </w:rPr>
        <w:t>me</w:t>
      </w:r>
      <w:r>
        <w:t xml:space="preserve"> </w:t>
      </w:r>
      <w:proofErr w:type="spellStart"/>
      <w:r>
        <w:t>Samary</w:t>
      </w:r>
      <w:proofErr w:type="spellEnd"/>
      <w:r>
        <w:t xml:space="preserve"> y sont restées célèbres, mais il ne faut pas oublier que M</w:t>
      </w:r>
      <w:r>
        <w:rPr>
          <w:vertAlign w:val="superscript"/>
        </w:rPr>
        <w:t>lle</w:t>
      </w:r>
      <w:r>
        <w:t xml:space="preserve"> </w:t>
      </w:r>
      <w:proofErr w:type="spellStart"/>
      <w:r>
        <w:t>Beauval</w:t>
      </w:r>
      <w:proofErr w:type="spellEnd"/>
      <w:r>
        <w:t xml:space="preserve"> qui a créé Nicole, a, la première, eu la charge du bon rire franc de la Servante. Pour lui donner affaire partir et à continuer de telles fusées de rires, il fa</w:t>
      </w:r>
      <w:r>
        <w:t xml:space="preserve">llait : qu’elle fût naturellement rieuse. Molière en a profité et a certainement écrit le rôle pour elle, comme plus tard Mozart, dans </w:t>
      </w:r>
      <w:r>
        <w:rPr>
          <w:i/>
        </w:rPr>
        <w:t>La Flûte</w:t>
      </w:r>
      <w:r>
        <w:rPr>
          <w:i/>
        </w:rPr>
        <w:t xml:space="preserve"> enchantée</w:t>
      </w:r>
      <w:r>
        <w:t xml:space="preserve">, a donné à la Reine de la Nuit les notes élevées et suraiguës de la voix de sa belle-sœur, qui depuis </w:t>
      </w:r>
      <w:r>
        <w:t>ne se sont que rarement retrouvées.</w:t>
      </w:r>
    </w:p>
    <w:p w:rsidR="00674766" w:rsidRDefault="007B20AC">
      <w:pPr>
        <w:pStyle w:val="Corpsdetexte"/>
        <w:jc w:val="both"/>
      </w:pPr>
      <w:r>
        <w:t>Quant à Molière, qui se chargeait toujours du rôle le plus lourd, il faisait le Bourgeois. Il l’avait habillé d’une robe de chambre d’indienne rayée, doublée de taffetas aurore et vert ; d’un haut-de-chausses de panne ro</w:t>
      </w:r>
      <w:r>
        <w:t xml:space="preserve">uge, d’une camisole de panne bleue, d’un bonnet de nuit avec sa coiffe et d’une écharpe de toile peinte à l’Indienne. Avec cela M. Jourdain était </w:t>
      </w:r>
      <w:r>
        <w:rPr>
          <w:rStyle w:val="pb"/>
        </w:rPr>
        <w:t>$VII$</w:t>
      </w:r>
      <w:r>
        <w:t xml:space="preserve"> assez richement panaché pour faire la roue à la façon des paons. Car il veut s’habiller comme les gens d</w:t>
      </w:r>
      <w:r>
        <w:t>e Qualité ; il veut, pour s’égaler à eux, apprendre la Musique, la Danse, l’Escrime, la Philosophie, et, dans la Musique, la Trompette marine, c'est-à-dire une espèce de longue et étroite contrebasse à une seule grosse corde, dont le son, quand on la racle</w:t>
      </w:r>
      <w:r>
        <w:t>, est plutôt le mugissement bas et très long d’une seule note, auprès de laquelle le Serpent des églises de village serait une symphonie.</w:t>
      </w:r>
    </w:p>
    <w:p w:rsidR="00674766" w:rsidRDefault="007B20AC">
      <w:pPr>
        <w:pStyle w:val="Corpsdetexte"/>
        <w:jc w:val="both"/>
      </w:pPr>
      <w:r>
        <w:t>Une dernière remarque. Le troisième Acte est, à lui seul, plus long que les deux premiers. C'est que, comme dans le Th</w:t>
      </w:r>
      <w:r>
        <w:t>éâtre des Grecs et dans le Théâtre des Latins, il n’y a pas de coupures. A la place des Chœurs, ce sont les Danseurs du Maître de Danse, les Garçons du Maître Tailleur, les Cuisiniers du repas, la Cérémonie Turque, les Intermèdes de Ballet sortis du sujet.</w:t>
      </w:r>
      <w:r>
        <w:t xml:space="preserve"> La Pièce va d’un bout à l’autre sans arrêt ; le rideau ne doit pas tomber. Si je n’ai pas osé supprimer les divisions, parce que l’édition originale est coupée, cela n’en eût pas moins été parfaitement juste.</w:t>
      </w:r>
    </w:p>
    <w:p w:rsidR="00674766" w:rsidRDefault="007B20AC" w:rsidP="007B20AC">
      <w:pPr>
        <w:pStyle w:val="signed"/>
      </w:pPr>
      <w:r>
        <w:t>Anatole de Montaiglon.</w:t>
      </w:r>
    </w:p>
    <w:sectPr w:rsidR="00674766">
      <w:pgSz w:w="11906" w:h="16838"/>
      <w:pgMar w:top="567" w:right="567" w:bottom="567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horndale">
    <w:altName w:val="Times New Roman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lbany">
    <w:altName w:val="Arial"/>
    <w:charset w:val="00"/>
    <w:family w:val="roman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ans-serif">
    <w:altName w:val="Arial"/>
    <w:charset w:val="00"/>
    <w:family w:val="roman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G Mincho Light J">
    <w:altName w:val="Times New Roman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674766"/>
    <w:rsid w:val="00674766"/>
    <w:rsid w:val="007B2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SimSun" w:hAnsi="Liberation Serif" w:cs="Mangal"/>
        <w:sz w:val="24"/>
        <w:szCs w:val="24"/>
        <w:lang w:val="fr-FR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paragraph" w:styleId="Titre1">
    <w:name w:val="heading 1"/>
    <w:basedOn w:val="Titreprincipal"/>
    <w:pPr>
      <w:outlineLvl w:val="0"/>
    </w:pPr>
    <w:rPr>
      <w:rFonts w:ascii="Thorndale" w:hAnsi="Thorndale"/>
      <w:b/>
      <w:bCs/>
      <w:sz w:val="48"/>
      <w:szCs w:val="44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6A1BB2"/>
    <w:pPr>
      <w:keepNext/>
      <w:keepLines/>
      <w:spacing w:before="200"/>
      <w:outlineLvl w:val="1"/>
    </w:pPr>
    <w:rPr>
      <w:rFonts w:asciiTheme="majorHAnsi" w:eastAsiaTheme="majorEastAsia" w:hAnsiTheme="majorHAnsi"/>
      <w:b/>
      <w:bCs/>
      <w:color w:val="4F81BD" w:themeColor="accent1"/>
      <w:sz w:val="26"/>
      <w:szCs w:val="23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A1BB2"/>
    <w:pPr>
      <w:keepNext/>
      <w:keepLines/>
      <w:spacing w:before="200"/>
      <w:outlineLvl w:val="2"/>
    </w:pPr>
    <w:rPr>
      <w:rFonts w:asciiTheme="majorHAnsi" w:eastAsiaTheme="majorEastAsia" w:hAnsiTheme="majorHAnsi"/>
      <w:b/>
      <w:bCs/>
      <w:color w:val="4F81BD" w:themeColor="accent1"/>
      <w:szCs w:val="2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A1BB2"/>
    <w:pPr>
      <w:keepNext/>
      <w:keepLines/>
      <w:spacing w:before="200"/>
      <w:outlineLvl w:val="3"/>
    </w:pPr>
    <w:rPr>
      <w:rFonts w:asciiTheme="majorHAnsi" w:eastAsiaTheme="majorEastAsia" w:hAnsiTheme="majorHAnsi"/>
      <w:b/>
      <w:bCs/>
      <w:i/>
      <w:iCs/>
      <w:color w:val="4F81BD" w:themeColor="accent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Caractresdenotedefin">
    <w:name w:val="Caractères de note de fin"/>
    <w:qFormat/>
  </w:style>
  <w:style w:type="character" w:customStyle="1" w:styleId="Caractresdenotedebasdepage">
    <w:name w:val="Caractères de note de bas de page"/>
    <w:qFormat/>
  </w:style>
  <w:style w:type="character" w:customStyle="1" w:styleId="LienInternet">
    <w:name w:val="Lien Internet"/>
    <w:rPr>
      <w:color w:val="000080"/>
      <w:u w:val="single"/>
    </w:rPr>
  </w:style>
  <w:style w:type="character" w:customStyle="1" w:styleId="Titre2Car">
    <w:name w:val="Titre 2 Car"/>
    <w:basedOn w:val="Policepardfaut"/>
    <w:link w:val="Titre2"/>
    <w:uiPriority w:val="9"/>
    <w:semiHidden/>
    <w:qFormat/>
    <w:rsid w:val="006A1BB2"/>
    <w:rPr>
      <w:rFonts w:asciiTheme="majorHAnsi" w:eastAsiaTheme="majorEastAsia" w:hAnsiTheme="majorHAnsi"/>
      <w:b/>
      <w:bCs/>
      <w:color w:val="4F81BD" w:themeColor="accent1"/>
      <w:sz w:val="26"/>
      <w:szCs w:val="23"/>
    </w:rPr>
  </w:style>
  <w:style w:type="character" w:customStyle="1" w:styleId="Titre3Car">
    <w:name w:val="Titre 3 Car"/>
    <w:basedOn w:val="Policepardfaut"/>
    <w:link w:val="Titre3"/>
    <w:uiPriority w:val="9"/>
    <w:semiHidden/>
    <w:qFormat/>
    <w:rsid w:val="006A1BB2"/>
    <w:rPr>
      <w:rFonts w:asciiTheme="majorHAnsi" w:eastAsiaTheme="majorEastAsia" w:hAnsiTheme="majorHAnsi"/>
      <w:b/>
      <w:bCs/>
      <w:color w:val="4F81BD" w:themeColor="accent1"/>
      <w:szCs w:val="21"/>
    </w:rPr>
  </w:style>
  <w:style w:type="character" w:customStyle="1" w:styleId="Titre4Car">
    <w:name w:val="Titre 4 Car"/>
    <w:basedOn w:val="Policepardfaut"/>
    <w:link w:val="Titre4"/>
    <w:uiPriority w:val="9"/>
    <w:semiHidden/>
    <w:qFormat/>
    <w:rsid w:val="006A1BB2"/>
    <w:rPr>
      <w:rFonts w:asciiTheme="majorHAnsi" w:eastAsiaTheme="majorEastAsia" w:hAnsiTheme="majorHAnsi"/>
      <w:b/>
      <w:bCs/>
      <w:i/>
      <w:iCs/>
      <w:color w:val="4F81BD" w:themeColor="accent1"/>
      <w:szCs w:val="21"/>
    </w:rPr>
  </w:style>
  <w:style w:type="character" w:customStyle="1" w:styleId="quotec">
    <w:name w:val="&lt;quote.c&gt;"/>
    <w:basedOn w:val="Policepardfaut"/>
    <w:uiPriority w:val="1"/>
    <w:qFormat/>
    <w:rsid w:val="006A1BB2"/>
    <w:rPr>
      <w:color w:val="00B050"/>
    </w:rPr>
  </w:style>
  <w:style w:type="character" w:customStyle="1" w:styleId="stagec">
    <w:name w:val="&lt;stage.c&gt;"/>
    <w:uiPriority w:val="1"/>
    <w:qFormat/>
    <w:rsid w:val="006A1BB2"/>
    <w:rPr>
      <w:i/>
    </w:rPr>
  </w:style>
  <w:style w:type="character" w:customStyle="1" w:styleId="pb">
    <w:name w:val="&lt;pb&gt;"/>
    <w:qFormat/>
    <w:rsid w:val="006A1BB2"/>
    <w:rPr>
      <w:color w:val="FF0000"/>
      <w:vertAlign w:val="subscript"/>
    </w:rPr>
  </w:style>
  <w:style w:type="paragraph" w:styleId="Titre">
    <w:name w:val="Title"/>
    <w:basedOn w:val="Normal"/>
    <w:next w:val="Corpsdetexte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Corpsdetexte">
    <w:name w:val="Body Text"/>
    <w:basedOn w:val="Normal"/>
    <w:pPr>
      <w:spacing w:after="283"/>
    </w:pPr>
    <w:rPr>
      <w:rFonts w:ascii="Times New Roman" w:hAnsi="Times New Roman"/>
    </w:rPr>
  </w:style>
  <w:style w:type="paragraph" w:styleId="Liste">
    <w:name w:val="List"/>
    <w:basedOn w:val="Corpsdetexte"/>
  </w:style>
  <w:style w:type="paragraph" w:styleId="Lgende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itreprincipal">
    <w:name w:val="Titre principal"/>
    <w:basedOn w:val="Normal"/>
    <w:qFormat/>
    <w:pPr>
      <w:keepNext/>
      <w:spacing w:before="240" w:after="283"/>
    </w:pPr>
    <w:rPr>
      <w:rFonts w:ascii="Albany" w:hAnsi="Albany"/>
      <w:sz w:val="28"/>
      <w:szCs w:val="26"/>
    </w:rPr>
  </w:style>
  <w:style w:type="paragraph" w:customStyle="1" w:styleId="Lignehorizontale">
    <w:name w:val="Ligne horizontale"/>
    <w:basedOn w:val="Normal"/>
    <w:qFormat/>
    <w:pPr>
      <w:pBdr>
        <w:bottom w:val="double" w:sz="2" w:space="0" w:color="808080"/>
      </w:pBdr>
      <w:spacing w:after="283"/>
    </w:pPr>
    <w:rPr>
      <w:sz w:val="12"/>
    </w:rPr>
  </w:style>
  <w:style w:type="paragraph" w:customStyle="1" w:styleId="Expditeur">
    <w:name w:val="Expéditeur"/>
    <w:basedOn w:val="Normal"/>
    <w:rPr>
      <w:i/>
    </w:rPr>
  </w:style>
  <w:style w:type="paragraph" w:customStyle="1" w:styleId="Contenudetableau">
    <w:name w:val="Contenu de tableau"/>
    <w:basedOn w:val="Corpsdetexte"/>
    <w:qFormat/>
  </w:style>
  <w:style w:type="paragraph" w:styleId="Pieddepage">
    <w:name w:val="footer"/>
    <w:basedOn w:val="Normal"/>
    <w:pPr>
      <w:suppressLineNumbers/>
      <w:tabs>
        <w:tab w:val="center" w:pos="4818"/>
        <w:tab w:val="right" w:pos="9637"/>
      </w:tabs>
    </w:pPr>
  </w:style>
  <w:style w:type="paragraph" w:styleId="En-tte">
    <w:name w:val="header"/>
    <w:basedOn w:val="Normal"/>
    <w:pPr>
      <w:suppressLineNumbers/>
      <w:tabs>
        <w:tab w:val="center" w:pos="4818"/>
        <w:tab w:val="right" w:pos="9637"/>
      </w:tabs>
    </w:pPr>
  </w:style>
  <w:style w:type="paragraph" w:customStyle="1" w:styleId="LO-Normal">
    <w:name w:val="LO-Normal"/>
    <w:qFormat/>
    <w:pPr>
      <w:widowControl w:val="0"/>
      <w:suppressAutoHyphens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term">
    <w:name w:val="term"/>
    <w:basedOn w:val="LO-Normal"/>
    <w:qFormat/>
    <w:pPr>
      <w:widowControl/>
      <w:spacing w:before="100" w:after="100"/>
    </w:pPr>
    <w:rPr>
      <w:sz w:val="24"/>
      <w:szCs w:val="24"/>
      <w:lang w:val="fr-FR" w:eastAsia="fr-FR"/>
    </w:rPr>
  </w:style>
  <w:style w:type="paragraph" w:customStyle="1" w:styleId="postscript">
    <w:name w:val="&lt;postscript&gt;"/>
    <w:basedOn w:val="Corpsdetexte"/>
    <w:qFormat/>
    <w:rsid w:val="006A1BB2"/>
    <w:pPr>
      <w:suppressAutoHyphens/>
      <w:spacing w:after="120"/>
      <w:jc w:val="both"/>
    </w:pPr>
    <w:rPr>
      <w:rFonts w:eastAsia="Times New Roman" w:cs="Times New Roman"/>
      <w:szCs w:val="20"/>
      <w:lang w:bidi="ar-SA"/>
    </w:rPr>
  </w:style>
  <w:style w:type="paragraph" w:customStyle="1" w:styleId="speaker">
    <w:name w:val="&lt;speaker&gt;"/>
    <w:basedOn w:val="Corpsdetexte"/>
    <w:qFormat/>
    <w:rsid w:val="006A1BB2"/>
    <w:pPr>
      <w:suppressAutoHyphens/>
      <w:spacing w:after="120"/>
      <w:jc w:val="both"/>
    </w:pPr>
    <w:rPr>
      <w:rFonts w:eastAsia="Times New Roman" w:cs="Times New Roman"/>
      <w:szCs w:val="20"/>
      <w:lang w:bidi="ar-SA"/>
    </w:rPr>
  </w:style>
  <w:style w:type="paragraph" w:customStyle="1" w:styleId="quotel">
    <w:name w:val="&lt;quote.l&gt;"/>
    <w:basedOn w:val="Corpsdetexte"/>
    <w:qFormat/>
    <w:rsid w:val="006A1BB2"/>
    <w:pPr>
      <w:suppressAutoHyphens/>
      <w:spacing w:before="240" w:after="240"/>
      <w:ind w:left="1071" w:hanging="220"/>
      <w:contextualSpacing/>
    </w:pPr>
    <w:rPr>
      <w:rFonts w:cs="Times New Roman"/>
      <w:color w:val="00B050"/>
      <w:sz w:val="22"/>
    </w:rPr>
  </w:style>
  <w:style w:type="paragraph" w:customStyle="1" w:styleId="quote">
    <w:name w:val="&lt;quote&gt;"/>
    <w:basedOn w:val="Corpsdetexte"/>
    <w:qFormat/>
    <w:rsid w:val="006A1BB2"/>
    <w:pPr>
      <w:suppressAutoHyphens/>
      <w:spacing w:before="240" w:after="240"/>
      <w:ind w:left="851" w:firstLine="221"/>
      <w:contextualSpacing/>
      <w:jc w:val="both"/>
    </w:pPr>
    <w:rPr>
      <w:rFonts w:cs="Times New Roman"/>
      <w:color w:val="00B050"/>
      <w:sz w:val="22"/>
    </w:rPr>
  </w:style>
  <w:style w:type="paragraph" w:customStyle="1" w:styleId="argument">
    <w:name w:val="&lt;argument&gt;"/>
    <w:qFormat/>
    <w:rsid w:val="006A1BB2"/>
    <w:pPr>
      <w:spacing w:before="120" w:after="120"/>
      <w:ind w:left="567" w:right="567"/>
      <w:jc w:val="both"/>
    </w:pPr>
    <w:rPr>
      <w:rFonts w:ascii="Times New Roman" w:eastAsia="Times New Roman" w:hAnsi="Times New Roman" w:cs="Times New Roman"/>
      <w:smallCaps/>
      <w:sz w:val="22"/>
      <w:lang w:bidi="ar-SA"/>
    </w:rPr>
  </w:style>
  <w:style w:type="paragraph" w:customStyle="1" w:styleId="signed">
    <w:name w:val="&lt;signed&gt;"/>
    <w:qFormat/>
    <w:rsid w:val="006A1BB2"/>
    <w:pPr>
      <w:spacing w:before="120" w:after="120"/>
      <w:jc w:val="right"/>
    </w:pPr>
    <w:rPr>
      <w:rFonts w:ascii="Times New Roman" w:eastAsia="Times New Roman" w:hAnsi="Times New Roman" w:cs="Times New Roman"/>
      <w:sz w:val="22"/>
      <w:lang w:bidi="ar-SA"/>
    </w:rPr>
  </w:style>
  <w:style w:type="paragraph" w:customStyle="1" w:styleId="dateline">
    <w:name w:val="&lt;dateline&gt;"/>
    <w:qFormat/>
    <w:rsid w:val="006A1BB2"/>
    <w:pPr>
      <w:spacing w:before="120" w:after="120"/>
      <w:jc w:val="right"/>
    </w:pPr>
    <w:rPr>
      <w:rFonts w:ascii="Times New Roman" w:eastAsia="Times New Roman" w:hAnsi="Times New Roman" w:cs="Times New Roman"/>
      <w:sz w:val="22"/>
      <w:lang w:bidi="ar-SA"/>
    </w:rPr>
  </w:style>
  <w:style w:type="paragraph" w:customStyle="1" w:styleId="salute">
    <w:name w:val="&lt;salute&gt;"/>
    <w:basedOn w:val="Normal"/>
    <w:qFormat/>
    <w:rsid w:val="006A1BB2"/>
    <w:pPr>
      <w:suppressAutoHyphens/>
      <w:spacing w:before="120" w:after="120"/>
      <w:ind w:left="567" w:firstLine="240"/>
      <w:jc w:val="both"/>
    </w:pPr>
    <w:rPr>
      <w:rFonts w:ascii="Times New Roman" w:eastAsia="Arial Unicode MS" w:hAnsi="Times New Roman" w:cs="Arial Unicode MS"/>
      <w:lang w:eastAsia="hi-IN"/>
    </w:rPr>
  </w:style>
  <w:style w:type="paragraph" w:customStyle="1" w:styleId="epigraph">
    <w:name w:val="&lt;epigraph&gt;"/>
    <w:qFormat/>
    <w:rsid w:val="006A1BB2"/>
    <w:pPr>
      <w:spacing w:before="240" w:after="240"/>
      <w:ind w:left="2835"/>
      <w:jc w:val="both"/>
    </w:pPr>
    <w:rPr>
      <w:rFonts w:ascii="Times New Roman" w:eastAsia="Times New Roman" w:hAnsi="Times New Roman" w:cs="Times New Roman"/>
      <w:sz w:val="22"/>
      <w:szCs w:val="22"/>
      <w:lang w:bidi="ar-SA"/>
    </w:rPr>
  </w:style>
  <w:style w:type="paragraph" w:customStyle="1" w:styleId="stage">
    <w:name w:val="&lt;stage&gt;"/>
    <w:basedOn w:val="Corpsdetexte"/>
    <w:qFormat/>
    <w:rsid w:val="006A1BB2"/>
    <w:pPr>
      <w:suppressAutoHyphens/>
      <w:spacing w:after="120"/>
      <w:jc w:val="both"/>
    </w:pPr>
    <w:rPr>
      <w:rFonts w:eastAsia="Times New Roman" w:cs="Times New Roman"/>
      <w:i/>
      <w:szCs w:val="20"/>
      <w:lang w:bidi="ar-SA"/>
    </w:rPr>
  </w:style>
  <w:style w:type="paragraph" w:customStyle="1" w:styleId="bibl">
    <w:name w:val="&lt;bibl&gt;"/>
    <w:qFormat/>
    <w:rsid w:val="006A1BB2"/>
    <w:pPr>
      <w:spacing w:after="113" w:line="100" w:lineRule="atLeast"/>
      <w:ind w:left="1701"/>
    </w:pPr>
    <w:rPr>
      <w:rFonts w:ascii="sans-serif" w:eastAsia="Arial Unicode MS" w:hAnsi="sans-serif" w:cs="Arial Unicode MS"/>
      <w:sz w:val="19"/>
      <w:lang w:eastAsia="hi-IN"/>
    </w:rPr>
  </w:style>
  <w:style w:type="paragraph" w:customStyle="1" w:styleId="byline">
    <w:name w:val="&lt;byline&gt;"/>
    <w:qFormat/>
    <w:rsid w:val="006A1BB2"/>
    <w:pPr>
      <w:spacing w:after="200" w:line="276" w:lineRule="auto"/>
      <w:jc w:val="right"/>
    </w:pPr>
    <w:rPr>
      <w:rFonts w:asciiTheme="minorHAnsi" w:eastAsia="Arial Unicode MS" w:hAnsiTheme="minorHAnsi" w:cs="Arial Unicode MS"/>
      <w:lang w:eastAsia="hi-IN"/>
    </w:rPr>
  </w:style>
  <w:style w:type="paragraph" w:customStyle="1" w:styleId="h1sub">
    <w:name w:val="&lt;h1.sub&gt;"/>
    <w:basedOn w:val="Titre1"/>
    <w:qFormat/>
    <w:rsid w:val="006A1BB2"/>
    <w:pPr>
      <w:suppressAutoHyphens/>
      <w:spacing w:before="0" w:after="240"/>
    </w:pPr>
    <w:rPr>
      <w:rFonts w:ascii="Arial" w:eastAsia="HG Mincho Light J" w:hAnsi="Arial" w:cs="Arial Unicode MS"/>
      <w:b w:val="0"/>
      <w:i/>
      <w:sz w:val="40"/>
      <w:szCs w:val="48"/>
      <w:lang w:eastAsia="hi-IN"/>
    </w:rPr>
  </w:style>
  <w:style w:type="paragraph" w:customStyle="1" w:styleId="h2sub">
    <w:name w:val="&lt;h2.sub&gt;"/>
    <w:basedOn w:val="Titre2"/>
    <w:qFormat/>
    <w:rsid w:val="006A1BB2"/>
    <w:pPr>
      <w:tabs>
        <w:tab w:val="left" w:pos="0"/>
      </w:tabs>
      <w:suppressAutoHyphens/>
      <w:spacing w:before="0" w:after="240" w:line="288" w:lineRule="auto"/>
    </w:pPr>
    <w:rPr>
      <w:rFonts w:ascii="Arial" w:eastAsia="HG Mincho Light J" w:hAnsi="Arial" w:cs="Arial Unicode MS"/>
      <w:b w:val="0"/>
      <w:bCs w:val="0"/>
      <w:i/>
      <w:color w:val="00000A"/>
      <w:sz w:val="32"/>
      <w:szCs w:val="28"/>
      <w:lang w:eastAsia="hi-IN"/>
    </w:rPr>
  </w:style>
  <w:style w:type="paragraph" w:customStyle="1" w:styleId="h3sub">
    <w:name w:val="&lt;h3.sub&gt;"/>
    <w:basedOn w:val="Titre3"/>
    <w:qFormat/>
    <w:rsid w:val="006A1BB2"/>
    <w:pPr>
      <w:tabs>
        <w:tab w:val="left" w:pos="567"/>
      </w:tabs>
      <w:suppressAutoHyphens/>
      <w:spacing w:before="0" w:after="142"/>
      <w:ind w:left="567"/>
    </w:pPr>
    <w:rPr>
      <w:rFonts w:ascii="Arial" w:eastAsia="HG Mincho Light J" w:hAnsi="Arial" w:cs="Arial Unicode MS"/>
      <w:b w:val="0"/>
      <w:bCs w:val="0"/>
      <w:i/>
      <w:color w:val="00000A"/>
      <w:sz w:val="28"/>
      <w:szCs w:val="28"/>
      <w:lang w:eastAsia="hi-IN"/>
    </w:rPr>
  </w:style>
  <w:style w:type="paragraph" w:customStyle="1" w:styleId="h4sub">
    <w:name w:val="&lt;h4.sub&gt;"/>
    <w:basedOn w:val="Titre4"/>
    <w:qFormat/>
    <w:rsid w:val="006A1BB2"/>
    <w:pPr>
      <w:keepLines w:val="0"/>
      <w:suppressAutoHyphens/>
      <w:spacing w:before="0" w:after="240"/>
      <w:ind w:left="1134"/>
    </w:pPr>
    <w:rPr>
      <w:rFonts w:ascii="Arial" w:eastAsia="HG Mincho Light J" w:hAnsi="Arial" w:cs="Arial Unicode MS"/>
      <w:b w:val="0"/>
      <w:bCs w:val="0"/>
      <w:iCs w:val="0"/>
      <w:color w:val="00000A"/>
      <w:szCs w:val="28"/>
      <w:lang w:eastAsia="hi-IN"/>
    </w:rPr>
  </w:style>
  <w:style w:type="paragraph" w:customStyle="1" w:styleId="l">
    <w:name w:val="&lt;l&gt;"/>
    <w:qFormat/>
    <w:rsid w:val="006A1BB2"/>
    <w:pPr>
      <w:spacing w:after="120"/>
      <w:ind w:left="476" w:hanging="238"/>
      <w:contextualSpacing/>
    </w:pPr>
    <w:rPr>
      <w:rFonts w:ascii="Times New Roman" w:eastAsia="Arial Unicode MS" w:hAnsi="Times New Roman" w:cs="Arial Unicode MS"/>
      <w:lang w:eastAsia="hi-IN"/>
    </w:rPr>
  </w:style>
  <w:style w:type="paragraph" w:customStyle="1" w:styleId="Acte">
    <w:name w:val="Acte"/>
    <w:basedOn w:val="Titre1"/>
    <w:qFormat/>
    <w:rsid w:val="006A1BB2"/>
    <w:pPr>
      <w:suppressAutoHyphens/>
      <w:jc w:val="center"/>
    </w:pPr>
    <w:rPr>
      <w:rFonts w:eastAsia="HG Mincho Light J" w:cs="Arial Unicode MS"/>
      <w:szCs w:val="48"/>
      <w:lang w:eastAsia="hi-IN"/>
    </w:rPr>
  </w:style>
  <w:style w:type="paragraph" w:customStyle="1" w:styleId="Scne">
    <w:name w:val="Scène"/>
    <w:basedOn w:val="Titre2"/>
    <w:qFormat/>
    <w:rsid w:val="006A1BB2"/>
    <w:pPr>
      <w:tabs>
        <w:tab w:val="left" w:pos="0"/>
      </w:tabs>
      <w:suppressAutoHyphens/>
      <w:spacing w:before="567" w:after="425" w:line="288" w:lineRule="auto"/>
    </w:pPr>
    <w:rPr>
      <w:rFonts w:ascii="Albany" w:eastAsia="HG Mincho Light J" w:hAnsi="Albany" w:cs="Arial Unicode MS"/>
      <w:bCs w:val="0"/>
      <w:color w:val="00000A"/>
      <w:sz w:val="34"/>
      <w:szCs w:val="28"/>
      <w:lang w:eastAsia="hi-IN"/>
    </w:rPr>
  </w:style>
  <w:style w:type="paragraph" w:customStyle="1" w:styleId="label">
    <w:name w:val="&lt;label&gt;"/>
    <w:qFormat/>
    <w:rsid w:val="006A1BB2"/>
    <w:pPr>
      <w:spacing w:after="200" w:line="276" w:lineRule="auto"/>
      <w:jc w:val="center"/>
    </w:pPr>
    <w:rPr>
      <w:rFonts w:ascii="Times New Roman" w:eastAsia="Times New Roman" w:hAnsi="Times New Roman" w:cs="Times New Roman"/>
      <w:smallCaps/>
      <w:lang w:bidi="ar-SA"/>
    </w:rPr>
  </w:style>
  <w:style w:type="paragraph" w:customStyle="1" w:styleId="ab">
    <w:name w:val="&lt;ab&gt;"/>
    <w:qFormat/>
    <w:rsid w:val="006A1BB2"/>
    <w:pPr>
      <w:spacing w:before="240" w:after="240"/>
      <w:jc w:val="center"/>
    </w:pPr>
    <w:rPr>
      <w:rFonts w:ascii="Times New Roman" w:eastAsiaTheme="majorEastAsia" w:hAnsi="Times New Roman" w:cstheme="majorBidi"/>
      <w:bCs/>
      <w:sz w:val="28"/>
      <w:szCs w:val="28"/>
      <w:lang w:bidi="ar-SA"/>
    </w:rPr>
  </w:style>
  <w:style w:type="table" w:styleId="Grilledutableau">
    <w:name w:val="Table Grid"/>
    <w:basedOn w:val="TableauNormal"/>
    <w:uiPriority w:val="59"/>
    <w:rsid w:val="006A1BB2"/>
    <w:rPr>
      <w:sz w:val="20"/>
      <w:szCs w:val="20"/>
      <w:lang w:eastAsia="fr-FR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2116</Words>
  <Characters>11638</Characters>
  <Application>Microsoft Office Word</Application>
  <DocSecurity>0</DocSecurity>
  <Lines>96</Lines>
  <Paragraphs>27</Paragraphs>
  <ScaleCrop>false</ScaleCrop>
  <Company/>
  <LinksUpToDate>false</LinksUpToDate>
  <CharactersWithSpaces>13727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ILOVEPDF.COM</dc:creator>
  <cp:lastModifiedBy>user</cp:lastModifiedBy>
  <cp:revision>9</cp:revision>
  <dcterms:created xsi:type="dcterms:W3CDTF">2016-02-25T10:57:00Z</dcterms:created>
  <dcterms:modified xsi:type="dcterms:W3CDTF">2016-02-25T11:15:00Z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