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 Mans, Médiathèque, ms. 241 et ms. 238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“Obituaires de La Couture”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(transcript)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ms 238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f. 12r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IX kalendes Obierunt Renatus Desecotaiz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Voir registre de professions de foi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f. 16v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VIII ides Obierunt […] Michael Bureau in sacra pagia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doctor huius monastii Abbas </w:t>
      </w:r>
      <w:r w:rsidDel="00000000" w:rsidR="00000000" w:rsidRPr="00000000">
        <w:rPr>
          <w:rtl w:val="0"/>
        </w:rPr>
        <w:t xml:space="preserve">ieropolisque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episcopus</w:t>
      </w:r>
      <w:r w:rsidDel="00000000" w:rsidR="00000000" w:rsidRPr="00000000">
        <w:rPr>
          <w:rtl w:val="0"/>
        </w:rPr>
        <w:t xml:space="preserve"> anno domini 1518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Croix du Maine : bvhbibfr_02063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ms 241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f. 48v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Frater Michael Bureau sacre theologie doctor Abas monasterii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beati petri de cultura prope Cenomanensis ad augmentum domini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cultus suffragium et adiutorum fratrum deffunctorum de bonis baculi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pastoralis fundat duo anniversaria in vigiliis santorum Juliani ac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Bertranni singulis annis in perpetuum celebranda in predicto monasterio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 pro fundatione.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