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35C2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FFFFFF"/>
              </w:rPr>
              <w:t xml:space="preserve">Week 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35C2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FFFFFF"/>
              </w:rPr>
              <w:t xml:space="preserve">Epidemiological Bulletin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35C2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FFFFFF"/>
              </w:rPr>
              <w:t xml:space="preserve">19th - 25th, Aug, 2024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0"/>
      </w:tblGrid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2D0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000000"/>
              </w:rPr>
              <w:t xml:space="preserve">Summary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/>
            </w:r>
          </w:p>
        </w:tc>
      </w:tr>
    </w:tbl>
    <w:p>
      <w:pPr>
        <w:pStyle w:val="FirstParagraph"/>
      </w:pPr>
      <w:r>
        <w:rPr>
          <w:b/>
          <w:bCs/>
        </w:rPr>
        <w:t xml:space="preserve">Immediately Notifiable Diseases and Events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AFP</w:t>
      </w:r>
      <w:r>
        <w:t xml:space="preserve"> </w:t>
      </w:r>
      <w:r>
        <w:t xml:space="preserve">: 6 suspected cases were reported from Eastern(2), Southern(3), Western(1) provinces.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Anthrax</w:t>
      </w:r>
      <w:r>
        <w:t xml:space="preserve"> </w:t>
      </w:r>
      <w:r>
        <w:t xml:space="preserve">: 8 suspected cases were reported from Southern(7), Western(1) provinces.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Cholera</w:t>
      </w:r>
      <w:r>
        <w:t xml:space="preserve"> </w:t>
      </w:r>
      <w:r>
        <w:t xml:space="preserve">: 4 suspected cases were reported from Copperbelt(4) province.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Measles</w:t>
      </w:r>
      <w:r>
        <w:t xml:space="preserve"> </w:t>
      </w:r>
      <w:r>
        <w:t xml:space="preserve">: 28 suspected cases were reported from Eastern(7), Luapula(3), Lusaka(2), North-Western(1), Northern(14), Western(1) provinces.</w:t>
      </w:r>
    </w:p>
    <w:p>
      <w:pPr>
        <w:pStyle w:val="FirstParagraph"/>
      </w:pPr>
      <w:r>
        <w:rPr>
          <w:b/>
          <w:bCs/>
        </w:rPr>
        <w:t xml:space="preserve">Other Diseases and Events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Non-bloody Diarrhoea</w:t>
      </w:r>
      <w:r>
        <w:t xml:space="preserve"> </w:t>
      </w:r>
      <w:r>
        <w:t xml:space="preserve">: 35175 suspected cases were reported from Central(4568), Copperbelt(3856), Eastern(5419), Luapula(1950), Lusaka(2495), Muchinga(1465), North-Western(3828), Northern(2289), Southern(5142), Western(4163) provinces.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Malaria</w:t>
      </w:r>
      <w:r>
        <w:t xml:space="preserve"> </w:t>
      </w:r>
      <w:r>
        <w:t xml:space="preserve">: 144640 suspected cases were reported from Central(10517), Copperbelt(23810), Eastern(25239), Luapula(22041), Lusaka(4643), Muchinga(7282), North-Western(23453), Northern(14352), Southern(2889), Western(10414) provinces.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Typhoid Fever</w:t>
      </w:r>
      <w:r>
        <w:t xml:space="preserve"> </w:t>
      </w:r>
      <w:r>
        <w:t xml:space="preserve">: 33 suspected cases were reported from Central(2), Copperbelt(4), Lusaka(18), Northern(9) provinces.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0"/>
      </w:tblGrid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2D0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000000"/>
              </w:rPr>
              <w:t xml:space="preserve">Summary Report Priority Diseases, Conditions and Events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/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56"/>
        <w:gridCol w:w="1422"/>
        <w:gridCol w:w="1134"/>
        <w:gridCol w:w="1411"/>
        <w:gridCol w:w="1422"/>
        <w:gridCol w:w="1300"/>
        <w:gridCol w:w="1411"/>
      </w:tblGrid>
      <w:tr>
        <w:trPr>
          <w:trHeight w:val="588" w:hRule="auto"/>
          <w:tblHeader/>
        </w:trPr>
        header1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Week 34</w:t>
            </w:r>
          </w:p>
        </w:tc>
        <w:tc>
          <w:tcPr>
            <w:gridSpan w:val="3"/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Week 1 to 34, Cumulative Total</w:t>
            </w:r>
          </w:p>
        </w:tc>
      </w:tr>
      <w:tr>
        <w:trPr>
          <w:trHeight w:val="596" w:hRule="auto"/>
          <w:tblHeader/>
        </w:trPr>
        header2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Disease/Event/Condition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Suspected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Tested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Confirmed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Suspected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Tested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Confirmed</w:t>
            </w:r>
          </w:p>
        </w:tc>
      </w:tr>
      <w:tr>
        <w:trPr>
          <w:trHeight w:val="557" w:hRule="auto"/>
        </w:trPr>
        body1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AFP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1</w:t>
            </w:r>
          </w:p>
        </w:tc>
      </w:tr>
      <w:tr>
        <w:trPr>
          <w:trHeight w:val="557" w:hRule="auto"/>
        </w:trPr>
        body2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Anthrax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283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36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5</w:t>
            </w:r>
          </w:p>
        </w:tc>
      </w:tr>
      <w:tr>
        <w:trPr>
          <w:trHeight w:val="583" w:hRule="auto"/>
        </w:trPr>
        body3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Cholera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16,684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4,410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2,034</w:t>
            </w:r>
          </w:p>
        </w:tc>
      </w:tr>
      <w:tr>
        <w:trPr>
          <w:trHeight w:val="596" w:hRule="auto"/>
        </w:trPr>
        body4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Non-bloody Diarrhoea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35,175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2,435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2,171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813,029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46,953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50,502</w:t>
            </w:r>
          </w:p>
        </w:tc>
      </w:tr>
      <w:tr>
        <w:trPr>
          <w:trHeight w:val="583" w:hRule="auto"/>
        </w:trPr>
        body5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Malaria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144,640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138,717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40,329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8,011,914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7,570,205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3,693,242</w:t>
            </w:r>
          </w:p>
        </w:tc>
      </w:tr>
      <w:tr>
        <w:trPr>
          <w:trHeight w:val="583" w:hRule="auto"/>
        </w:trPr>
        body6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Measles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28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4,360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1,343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655</w:t>
            </w:r>
          </w:p>
        </w:tc>
      </w:tr>
      <w:tr>
        <w:trPr>
          <w:trHeight w:val="596" w:hRule="auto"/>
        </w:trPr>
        body7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Monkeypox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0</w:t>
            </w:r>
          </w:p>
        </w:tc>
      </w:tr>
      <w:tr>
        <w:trPr>
          <w:trHeight w:val="596" w:hRule="auto"/>
        </w:trPr>
        body8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Plague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0</w:t>
            </w:r>
          </w:p>
        </w:tc>
      </w:tr>
      <w:tr>
        <w:trPr>
          <w:trHeight w:val="596" w:hRule="auto"/>
        </w:trPr>
        body9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Typhoid Fever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33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822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499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45</w:t>
            </w:r>
          </w:p>
        </w:tc>
      </w:tr>
    </w:tbl>
    <w:p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0"/>
      </w:tblGrid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0"/>
                <w:szCs w:val="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0"/>
                <w:szCs w:val="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2D0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000000"/>
              </w:rPr>
              <w:t xml:space="preserve">Summary of VPD Surveillance Indicators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/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0"/>
      </w:tblGrid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0"/>
                <w:szCs w:val="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0"/>
                <w:szCs w:val="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FFFFFF"/>
              </w:rPr>
              <w:t xml:space="preserve">Measles Laboratory Test Results by Province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/>
            </w:r>
          </w:p>
        </w:tc>
      </w:tr>
    </w:tbl>
    <w:p>
      <w:pPr>
        <w:pStyle w:val="FirstParagraph"/>
      </w:pPr>
      <w:r>
        <w:drawing>
          <wp:inline>
            <wp:extent cx="6858000" cy="2924174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pi_bulletin_example_files/figure-docx/measles_plo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24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0"/>
      </w:tblGrid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2D0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000000"/>
              </w:rPr>
              <w:t xml:space="preserve">Maternal Deaths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/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400"/>
        <w:gridCol w:w="5400"/>
      </w:tblGrid>
      <w:tr>
        <w:trPr>
          <w:trHeight w:val="360" w:hRule="auto"/>
        </w:trPr>
        body1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Causes of maternal death (Week 34, n=15)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Cumulative distribution of maternal deaths (2024) by province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/>
            </w:r>
          </w:p>
        </w:tc>
      </w:tr>
    </w:tbl>
    <w:p>
      <w:pPr>
        <w:pStyle w:val="BodyText"/>
      </w:pPr>
      <w:r>
        <w:drawing>
          <wp:inline>
            <wp:extent cx="6858000" cy="3200399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epi_bulletin_example_files/figure-docx/maternal_deaths_plot_grid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00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3"/>
        </w:numPr>
      </w:pPr>
      <w:r>
        <w:t xml:space="preserve">The bar chart on the left summarizes the causes of deaths of 15 maternal deaths recorded in week 34.</w:t>
      </w:r>
    </w:p>
    <w:p>
      <w:pPr>
        <w:pStyle w:val="Compact"/>
        <w:numPr>
          <w:ilvl w:val="0"/>
          <w:numId w:val="1003"/>
        </w:numPr>
      </w:pPr>
      <w:r>
        <w:t xml:space="preserve">Hypertensive disorder, Non-obstetric complications, and Obstetric haemorrhage continue to be the leading causes of maternal deaths this year.</w:t>
      </w:r>
    </w:p>
    <w:p>
      <w:pPr>
        <w:pStyle w:val="Compact"/>
        <w:numPr>
          <w:ilvl w:val="0"/>
          <w:numId w:val="1003"/>
        </w:numPr>
      </w:pPr>
      <w:r>
        <w:t xml:space="preserve">Cumulatively, in 2024, 410 maternal deaths have been recorded across the country, as depicted on the map.</w:t>
      </w:r>
    </w:p>
    <w:p>
      <w:pPr>
        <w:pStyle w:val="Compact"/>
        <w:numPr>
          <w:ilvl w:val="0"/>
          <w:numId w:val="1003"/>
        </w:numPr>
      </w:pPr>
      <w:r>
        <w:t xml:space="preserve">Provinces with darker shades (Lusaka, Copperbelt, and Southern) indicate those with a higher number of reported maternal deaths.</w:t>
      </w:r>
    </w:p>
    <w:sectPr w:rsidR="005036BE" w:rsidRPr="00000813" w:rsidSect="00A815F8">
      <w:pgSz w:h="15840" w:w="12240"/>
      <w:pgMar w:bottom="720" w:footer="720" w:gutter="0" w:header="720" w:left="720" w:right="720" w:top="72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A0C"/>
    <w:rsid w:val="00000813"/>
    <w:rsid w:val="00162053"/>
    <w:rsid w:val="002A7ABF"/>
    <w:rsid w:val="00344C80"/>
    <w:rsid w:val="00421DD7"/>
    <w:rsid w:val="00491A3C"/>
    <w:rsid w:val="005036BE"/>
    <w:rsid w:val="005668EF"/>
    <w:rsid w:val="00720B8E"/>
    <w:rsid w:val="00780E5E"/>
    <w:rsid w:val="0084265D"/>
    <w:rsid w:val="00884684"/>
    <w:rsid w:val="009E7A39"/>
    <w:rsid w:val="00A5276D"/>
    <w:rsid w:val="00A815F8"/>
    <w:rsid w:val="00B93A0C"/>
    <w:rsid w:val="00C656F9"/>
    <w:rsid w:val="00DF213A"/>
    <w:rsid w:val="00F4132E"/>
    <w:rsid w:val="00F76AD6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kern w:val="2"/>
        <w:sz w:val="22"/>
        <w:szCs w:val="22"/>
        <w:lang w:bidi="ar-SA" w:eastAsia="en-US" w:val="en-US"/>
        <w14:ligatures w14:val="standardContextual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E7A39"/>
    <w:rPr>
      <w:rFonts w:ascii="Arial" w:hAnsi="Arial"/>
      <w:sz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ableGrid" w:type="table">
    <w:name w:val="Table Grid"/>
    <w:basedOn w:val="TableNormal"/>
    <w:uiPriority w:val="39"/>
    <w:rsid w:val="00DF213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2025-02-08T17:07:36Z</dcterms:created>
  <dcterms:modified xsi:type="dcterms:W3CDTF">2025-02-08T17:07:36Z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10pt</vt:lpwstr>
  </property>
  <property fmtid="{D5CDD505-2E9C-101B-9397-08002B2CF9AE}" pid="3" name="output">
    <vt:lpwstr/>
  </property>
  <property fmtid="{D5CDD505-2E9C-101B-9397-08002B2CF9AE}" pid="4" name="params">
    <vt:lpwstr/>
  </property>
</Properties>
</file>