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FA468" w14:textId="77777777" w:rsidR="002360E6" w:rsidRPr="002360E6" w:rsidRDefault="00F145A0" w:rsidP="002360E6">
      <w:pPr>
        <w:jc w:val="center"/>
        <w:rPr>
          <w:b/>
          <w:bCs/>
          <w:sz w:val="28"/>
          <w:szCs w:val="28"/>
        </w:rPr>
      </w:pPr>
      <w:r w:rsidRPr="002360E6">
        <w:rPr>
          <w:b/>
          <w:bCs/>
          <w:sz w:val="28"/>
          <w:szCs w:val="28"/>
        </w:rPr>
        <w:t>Technical Assessment</w:t>
      </w:r>
    </w:p>
    <w:p w14:paraId="46367A74" w14:textId="41149C37" w:rsidR="00296FCC" w:rsidRPr="002360E6" w:rsidRDefault="00AF4080" w:rsidP="002360E6">
      <w:pPr>
        <w:jc w:val="center"/>
        <w:rPr>
          <w:b/>
          <w:bCs/>
        </w:rPr>
      </w:pPr>
      <w:r>
        <w:rPr>
          <w:b/>
          <w:bCs/>
        </w:rPr>
        <w:t>Data Use and Decision Science Consultancy</w:t>
      </w:r>
    </w:p>
    <w:p w14:paraId="7CB70CD4" w14:textId="77777777" w:rsidR="003F7DB7" w:rsidRDefault="003F7DB7"/>
    <w:p w14:paraId="03B1061B" w14:textId="2931F5FF" w:rsidR="00F145A0" w:rsidRDefault="003F7DB7">
      <w:pPr>
        <w:rPr>
          <w:b/>
          <w:bCs/>
        </w:rPr>
      </w:pPr>
      <w:r w:rsidRPr="003F7DB7">
        <w:rPr>
          <w:b/>
          <w:bCs/>
        </w:rPr>
        <w:t>Instructions</w:t>
      </w:r>
    </w:p>
    <w:p w14:paraId="2E07C962" w14:textId="198D3DFA" w:rsidR="00F8186F" w:rsidRPr="003F7DB7" w:rsidRDefault="00F8186F">
      <w:pPr>
        <w:rPr>
          <w:b/>
          <w:bCs/>
        </w:rPr>
      </w:pPr>
      <w:r>
        <w:rPr>
          <w:b/>
          <w:bCs/>
        </w:rPr>
        <w:t>Step 1:</w:t>
      </w:r>
    </w:p>
    <w:p w14:paraId="5D6BF025" w14:textId="1587A547" w:rsidR="00B407CA" w:rsidRDefault="00B407CA" w:rsidP="00DF61FD">
      <w:pPr>
        <w:pStyle w:val="ListParagraph"/>
        <w:numPr>
          <w:ilvl w:val="0"/>
          <w:numId w:val="2"/>
        </w:numPr>
      </w:pPr>
      <w:r w:rsidRPr="00B407CA">
        <w:t>Using your preferred statistical software (e.g., R, Python, Stata), reproduce the example Epidemiological Bulletin</w:t>
      </w:r>
      <w:r w:rsidR="00F8186F">
        <w:t xml:space="preserve"> as close to the existing format and style as possible</w:t>
      </w:r>
      <w:r w:rsidRPr="00B407CA">
        <w:t>. The source data can be found in the 'data' folder attached to this email. Automate as much as possible.</w:t>
      </w:r>
    </w:p>
    <w:p w14:paraId="12B1F616" w14:textId="5992524B" w:rsidR="00DF61FD" w:rsidRDefault="00DF61FD" w:rsidP="00DF61FD">
      <w:pPr>
        <w:pStyle w:val="ListParagraph"/>
        <w:numPr>
          <w:ilvl w:val="0"/>
          <w:numId w:val="2"/>
        </w:numPr>
      </w:pPr>
      <w:r>
        <w:t>Prepare the following:</w:t>
      </w:r>
    </w:p>
    <w:p w14:paraId="7B98BAC3" w14:textId="4FAC1813" w:rsidR="00DF61FD" w:rsidRDefault="00DF61FD" w:rsidP="00DF61FD">
      <w:pPr>
        <w:pStyle w:val="ListParagraph"/>
        <w:numPr>
          <w:ilvl w:val="1"/>
          <w:numId w:val="2"/>
        </w:numPr>
      </w:pPr>
      <w:r>
        <w:t>A single file (</w:t>
      </w:r>
      <w:r w:rsidR="00A849D2">
        <w:t>DOCX or PDF</w:t>
      </w:r>
      <w:r>
        <w:t>) that contains all the outputs.</w:t>
      </w:r>
    </w:p>
    <w:p w14:paraId="6E2E5E34" w14:textId="1B0C0B02" w:rsidR="00DF61FD" w:rsidRDefault="00DF61FD" w:rsidP="00DF61FD">
      <w:pPr>
        <w:pStyle w:val="ListParagraph"/>
        <w:numPr>
          <w:ilvl w:val="1"/>
          <w:numId w:val="2"/>
        </w:numPr>
      </w:pPr>
      <w:r>
        <w:t xml:space="preserve">Reproducible script(s), </w:t>
      </w:r>
      <w:r w:rsidR="00AF4080">
        <w:t>stored in</w:t>
      </w:r>
      <w:r>
        <w:t xml:space="preserve"> a GitHub repository or a ZIP file</w:t>
      </w:r>
      <w:r w:rsidR="00F56B43">
        <w:t>.</w:t>
      </w:r>
      <w:r>
        <w:t xml:space="preserve"> </w:t>
      </w:r>
    </w:p>
    <w:p w14:paraId="4237CF17" w14:textId="057B0E65" w:rsidR="00457DB7" w:rsidRDefault="00DF61FD" w:rsidP="00DF61FD">
      <w:pPr>
        <w:pStyle w:val="ListParagraph"/>
        <w:numPr>
          <w:ilvl w:val="0"/>
          <w:numId w:val="2"/>
        </w:numPr>
      </w:pPr>
      <w:r>
        <w:t xml:space="preserve">Submit the materials prepared from the above step </w:t>
      </w:r>
      <w:r w:rsidR="00F8186F">
        <w:t>to Nadine Dixon (</w:t>
      </w:r>
      <w:hyperlink r:id="rId5" w:history="1">
        <w:r w:rsidR="00F8186F" w:rsidRPr="00707F01">
          <w:rPr>
            <w:rStyle w:val="Hyperlink"/>
          </w:rPr>
          <w:t>ndixon@rtsl.org</w:t>
        </w:r>
      </w:hyperlink>
      <w:r w:rsidR="00F8186F">
        <w:t>) by Close of Business on Monday, Feb 10 (any time of day is fine).</w:t>
      </w:r>
    </w:p>
    <w:p w14:paraId="1062F587" w14:textId="59D0069B" w:rsidR="00F8186F" w:rsidRDefault="00F8186F" w:rsidP="00F8186F">
      <w:pPr>
        <w:rPr>
          <w:b/>
          <w:bCs/>
        </w:rPr>
      </w:pPr>
      <w:r>
        <w:rPr>
          <w:b/>
          <w:bCs/>
        </w:rPr>
        <w:t>Step 2:</w:t>
      </w:r>
    </w:p>
    <w:p w14:paraId="64C5FF07" w14:textId="6DC99957" w:rsidR="00F8186F" w:rsidRDefault="00F8186F" w:rsidP="00F8186F">
      <w:r>
        <w:t>You have presented this automated Epidemiologic Bulletin to the Director General of the National Public Health Institute. He applauds the automation but is displeased with how the data are presented for actionable decision-making.</w:t>
      </w:r>
    </w:p>
    <w:p w14:paraId="73161750" w14:textId="707D50C1" w:rsidR="00F8186F" w:rsidRPr="00F8186F" w:rsidRDefault="00F8186F" w:rsidP="00F8186F">
      <w:r>
        <w:t>In less than a page, please describe the steps that you would take to enhance the Epidemiologic Bulletin and how you would engage with various stakeholders from the point of re-designing the product to data compilation to production, dissemination, and decision-making.</w:t>
      </w:r>
    </w:p>
    <w:p w14:paraId="0A667738" w14:textId="77777777" w:rsidR="00DF61FD" w:rsidRDefault="00DF61FD" w:rsidP="00DF61FD"/>
    <w:p w14:paraId="5CD08C7E" w14:textId="38603D86" w:rsidR="00A575A5" w:rsidRDefault="00A575A5" w:rsidP="00A575A5">
      <w:pPr>
        <w:rPr>
          <w:b/>
          <w:bCs/>
        </w:rPr>
      </w:pPr>
      <w:r w:rsidRPr="00A575A5">
        <w:rPr>
          <w:b/>
          <w:bCs/>
        </w:rPr>
        <w:t>Assessment criteria</w:t>
      </w:r>
    </w:p>
    <w:tbl>
      <w:tblPr>
        <w:tblStyle w:val="TableGrid"/>
        <w:tblW w:w="0" w:type="auto"/>
        <w:tblLook w:val="04A0" w:firstRow="1" w:lastRow="0" w:firstColumn="1" w:lastColumn="0" w:noHBand="0" w:noVBand="1"/>
      </w:tblPr>
      <w:tblGrid>
        <w:gridCol w:w="6835"/>
        <w:gridCol w:w="2515"/>
      </w:tblGrid>
      <w:tr w:rsidR="00A575A5" w14:paraId="5AAA11AE" w14:textId="77777777" w:rsidTr="00A575A5">
        <w:tc>
          <w:tcPr>
            <w:tcW w:w="6835" w:type="dxa"/>
          </w:tcPr>
          <w:p w14:paraId="5A27EB82" w14:textId="6B5EC446" w:rsidR="00A575A5" w:rsidRDefault="00A575A5" w:rsidP="00A575A5">
            <w:pPr>
              <w:rPr>
                <w:b/>
                <w:bCs/>
              </w:rPr>
            </w:pPr>
            <w:r>
              <w:rPr>
                <w:b/>
                <w:bCs/>
              </w:rPr>
              <w:t>Criterion</w:t>
            </w:r>
          </w:p>
        </w:tc>
        <w:tc>
          <w:tcPr>
            <w:tcW w:w="2515" w:type="dxa"/>
          </w:tcPr>
          <w:p w14:paraId="4882BD6E" w14:textId="47375A84" w:rsidR="00A575A5" w:rsidRDefault="00A575A5" w:rsidP="00B656BF">
            <w:pPr>
              <w:jc w:val="center"/>
              <w:rPr>
                <w:b/>
                <w:bCs/>
              </w:rPr>
            </w:pPr>
            <w:r>
              <w:rPr>
                <w:b/>
                <w:bCs/>
              </w:rPr>
              <w:t>Score</w:t>
            </w:r>
          </w:p>
        </w:tc>
      </w:tr>
      <w:tr w:rsidR="00A575A5" w14:paraId="48A550B3" w14:textId="77777777" w:rsidTr="00A575A5">
        <w:tc>
          <w:tcPr>
            <w:tcW w:w="6835" w:type="dxa"/>
          </w:tcPr>
          <w:p w14:paraId="49752F8E" w14:textId="4500990E" w:rsidR="00A575A5" w:rsidRPr="00B656BF" w:rsidRDefault="00F8186F" w:rsidP="00A575A5">
            <w:r>
              <w:t xml:space="preserve">Step 1: </w:t>
            </w:r>
            <w:r w:rsidR="00A575A5" w:rsidRPr="00B656BF">
              <w:t>Outputs (e.g., plots and tables) correctly generated</w:t>
            </w:r>
          </w:p>
        </w:tc>
        <w:tc>
          <w:tcPr>
            <w:tcW w:w="2515" w:type="dxa"/>
          </w:tcPr>
          <w:p w14:paraId="2FAE3147" w14:textId="16F2CE32" w:rsidR="00A575A5" w:rsidRPr="00B656BF" w:rsidRDefault="00F8186F" w:rsidP="00B656BF">
            <w:pPr>
              <w:jc w:val="center"/>
            </w:pPr>
            <w:r>
              <w:t>2</w:t>
            </w:r>
            <w:r w:rsidR="00B656BF">
              <w:t>0</w:t>
            </w:r>
          </w:p>
        </w:tc>
      </w:tr>
      <w:tr w:rsidR="00A575A5" w14:paraId="0A61A131" w14:textId="77777777" w:rsidTr="00A575A5">
        <w:tc>
          <w:tcPr>
            <w:tcW w:w="6835" w:type="dxa"/>
          </w:tcPr>
          <w:p w14:paraId="0915D00D" w14:textId="73E18F97" w:rsidR="00A575A5" w:rsidRPr="00B656BF" w:rsidRDefault="00F8186F" w:rsidP="00A575A5">
            <w:r>
              <w:t xml:space="preserve">Step 1: </w:t>
            </w:r>
            <w:r w:rsidR="00B656BF" w:rsidRPr="00B656BF">
              <w:t>Scripts</w:t>
            </w:r>
            <w:r w:rsidR="00A575A5" w:rsidRPr="00B656BF">
              <w:t xml:space="preserve"> that can reproduce the outputs </w:t>
            </w:r>
          </w:p>
        </w:tc>
        <w:tc>
          <w:tcPr>
            <w:tcW w:w="2515" w:type="dxa"/>
          </w:tcPr>
          <w:p w14:paraId="24DB4137" w14:textId="6CCDC9F8" w:rsidR="00A575A5" w:rsidRPr="00B656BF" w:rsidRDefault="00F8186F" w:rsidP="00B656BF">
            <w:pPr>
              <w:jc w:val="center"/>
            </w:pPr>
            <w:r>
              <w:t>2</w:t>
            </w:r>
            <w:r w:rsidR="00B656BF">
              <w:t>0</w:t>
            </w:r>
          </w:p>
        </w:tc>
      </w:tr>
      <w:tr w:rsidR="00B407CA" w14:paraId="7EC60690" w14:textId="77777777" w:rsidTr="00A575A5">
        <w:tc>
          <w:tcPr>
            <w:tcW w:w="6835" w:type="dxa"/>
          </w:tcPr>
          <w:p w14:paraId="152EC9CA" w14:textId="13BA2488" w:rsidR="00B407CA" w:rsidRPr="00B656BF" w:rsidRDefault="00F8186F" w:rsidP="00A575A5">
            <w:r>
              <w:t xml:space="preserve">Step 1: </w:t>
            </w:r>
            <w:r w:rsidR="00B407CA">
              <w:t>Degree of automation</w:t>
            </w:r>
          </w:p>
        </w:tc>
        <w:tc>
          <w:tcPr>
            <w:tcW w:w="2515" w:type="dxa"/>
          </w:tcPr>
          <w:p w14:paraId="3F0004D4" w14:textId="5B2CDE6F" w:rsidR="00B407CA" w:rsidRDefault="00F8186F" w:rsidP="00B656BF">
            <w:pPr>
              <w:jc w:val="center"/>
            </w:pPr>
            <w:r>
              <w:t>15</w:t>
            </w:r>
          </w:p>
        </w:tc>
      </w:tr>
      <w:tr w:rsidR="008B2814" w14:paraId="6055BE93" w14:textId="77777777" w:rsidTr="00A575A5">
        <w:tc>
          <w:tcPr>
            <w:tcW w:w="6835" w:type="dxa"/>
          </w:tcPr>
          <w:p w14:paraId="5E718FD8" w14:textId="7CFBD7A0" w:rsidR="008B2814" w:rsidRPr="00B656BF" w:rsidRDefault="00F8186F" w:rsidP="008B2814">
            <w:r>
              <w:t xml:space="preserve">Step 1: </w:t>
            </w:r>
            <w:r w:rsidR="008B2814" w:rsidRPr="00B656BF">
              <w:t>Readability of the scripts</w:t>
            </w:r>
          </w:p>
        </w:tc>
        <w:tc>
          <w:tcPr>
            <w:tcW w:w="2515" w:type="dxa"/>
          </w:tcPr>
          <w:p w14:paraId="45A83067" w14:textId="407C69F0" w:rsidR="008B2814" w:rsidRPr="00B656BF" w:rsidRDefault="00F8186F" w:rsidP="008B2814">
            <w:pPr>
              <w:jc w:val="center"/>
            </w:pPr>
            <w:r>
              <w:t>5</w:t>
            </w:r>
          </w:p>
        </w:tc>
      </w:tr>
      <w:tr w:rsidR="008B2814" w14:paraId="6425A849" w14:textId="77777777" w:rsidTr="00A575A5">
        <w:tc>
          <w:tcPr>
            <w:tcW w:w="6835" w:type="dxa"/>
          </w:tcPr>
          <w:p w14:paraId="547D0177" w14:textId="7CC6F496" w:rsidR="008B2814" w:rsidRPr="00B656BF" w:rsidRDefault="00F8186F" w:rsidP="008B2814">
            <w:r>
              <w:t xml:space="preserve">Step 1: </w:t>
            </w:r>
            <w:r w:rsidR="008B2814" w:rsidRPr="00B656BF">
              <w:t>Output aesthetics</w:t>
            </w:r>
          </w:p>
        </w:tc>
        <w:tc>
          <w:tcPr>
            <w:tcW w:w="2515" w:type="dxa"/>
          </w:tcPr>
          <w:p w14:paraId="5AAE19EE" w14:textId="1C355E86" w:rsidR="008B2814" w:rsidRPr="00B656BF" w:rsidRDefault="00A4128D" w:rsidP="00A4128D">
            <w:pPr>
              <w:jc w:val="center"/>
            </w:pPr>
            <w:r>
              <w:t>10</w:t>
            </w:r>
          </w:p>
        </w:tc>
      </w:tr>
      <w:tr w:rsidR="00F8186F" w14:paraId="59B707A0" w14:textId="77777777" w:rsidTr="00A575A5">
        <w:tc>
          <w:tcPr>
            <w:tcW w:w="6835" w:type="dxa"/>
          </w:tcPr>
          <w:p w14:paraId="65D05EB6" w14:textId="0BBBC0A3" w:rsidR="00F8186F" w:rsidRPr="00B656BF" w:rsidRDefault="00F8186F" w:rsidP="008B2814">
            <w:r>
              <w:t>Step 2: Design, communications, and stakeholder engagement</w:t>
            </w:r>
          </w:p>
        </w:tc>
        <w:tc>
          <w:tcPr>
            <w:tcW w:w="2515" w:type="dxa"/>
          </w:tcPr>
          <w:p w14:paraId="05CE62F5" w14:textId="105697E7" w:rsidR="00F8186F" w:rsidRDefault="00F8186F" w:rsidP="00A4128D">
            <w:pPr>
              <w:jc w:val="center"/>
            </w:pPr>
            <w:r>
              <w:t>30</w:t>
            </w:r>
          </w:p>
        </w:tc>
      </w:tr>
      <w:tr w:rsidR="008B2814" w14:paraId="73269A26" w14:textId="77777777" w:rsidTr="00A575A5">
        <w:tc>
          <w:tcPr>
            <w:tcW w:w="6835" w:type="dxa"/>
          </w:tcPr>
          <w:p w14:paraId="0402E32C" w14:textId="6DC84DCD" w:rsidR="008B2814" w:rsidRDefault="008B2814" w:rsidP="008B2814">
            <w:pPr>
              <w:rPr>
                <w:b/>
                <w:bCs/>
              </w:rPr>
            </w:pPr>
            <w:r>
              <w:rPr>
                <w:b/>
                <w:bCs/>
              </w:rPr>
              <w:t>Total</w:t>
            </w:r>
          </w:p>
        </w:tc>
        <w:tc>
          <w:tcPr>
            <w:tcW w:w="2515" w:type="dxa"/>
          </w:tcPr>
          <w:p w14:paraId="7DD1C2AE" w14:textId="15B37B6B" w:rsidR="008B2814" w:rsidRDefault="008B2814" w:rsidP="008B2814">
            <w:pPr>
              <w:jc w:val="center"/>
              <w:rPr>
                <w:b/>
                <w:bCs/>
              </w:rPr>
            </w:pPr>
            <w:r>
              <w:rPr>
                <w:b/>
                <w:bCs/>
              </w:rPr>
              <w:t>100</w:t>
            </w:r>
          </w:p>
        </w:tc>
      </w:tr>
    </w:tbl>
    <w:p w14:paraId="45DF2606" w14:textId="77777777" w:rsidR="00A575A5" w:rsidRPr="00A575A5" w:rsidRDefault="00A575A5" w:rsidP="00A575A5">
      <w:pPr>
        <w:rPr>
          <w:b/>
          <w:bCs/>
        </w:rPr>
      </w:pPr>
    </w:p>
    <w:sectPr w:rsidR="00A575A5" w:rsidRPr="00A57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B934EC"/>
    <w:multiLevelType w:val="multilevel"/>
    <w:tmpl w:val="FE7EBF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DC2C88"/>
    <w:multiLevelType w:val="hybridMultilevel"/>
    <w:tmpl w:val="0F0A4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0D1430"/>
    <w:multiLevelType w:val="hybridMultilevel"/>
    <w:tmpl w:val="6204B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036A0E"/>
    <w:multiLevelType w:val="hybridMultilevel"/>
    <w:tmpl w:val="C85CF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036145"/>
    <w:multiLevelType w:val="multilevel"/>
    <w:tmpl w:val="D33E90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2031500">
    <w:abstractNumId w:val="2"/>
  </w:num>
  <w:num w:numId="2" w16cid:durableId="1662730473">
    <w:abstractNumId w:val="3"/>
  </w:num>
  <w:num w:numId="3" w16cid:durableId="599337724">
    <w:abstractNumId w:val="1"/>
  </w:num>
  <w:num w:numId="4" w16cid:durableId="1869685407">
    <w:abstractNumId w:val="0"/>
  </w:num>
  <w:num w:numId="5" w16cid:durableId="16338232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5A0"/>
    <w:rsid w:val="000E45AC"/>
    <w:rsid w:val="000F11A1"/>
    <w:rsid w:val="000F47DC"/>
    <w:rsid w:val="000F51CB"/>
    <w:rsid w:val="00132034"/>
    <w:rsid w:val="00136AF0"/>
    <w:rsid w:val="00166EC1"/>
    <w:rsid w:val="001D5906"/>
    <w:rsid w:val="00234EEB"/>
    <w:rsid w:val="002360E6"/>
    <w:rsid w:val="002829E1"/>
    <w:rsid w:val="00296FCC"/>
    <w:rsid w:val="002A2B57"/>
    <w:rsid w:val="002A7F81"/>
    <w:rsid w:val="00301712"/>
    <w:rsid w:val="003963FC"/>
    <w:rsid w:val="003C6D87"/>
    <w:rsid w:val="003E1F26"/>
    <w:rsid w:val="003F7DB7"/>
    <w:rsid w:val="00457DB7"/>
    <w:rsid w:val="00491E49"/>
    <w:rsid w:val="004949DB"/>
    <w:rsid w:val="005079B8"/>
    <w:rsid w:val="00560D60"/>
    <w:rsid w:val="005869A4"/>
    <w:rsid w:val="00677890"/>
    <w:rsid w:val="00682588"/>
    <w:rsid w:val="007E4EAA"/>
    <w:rsid w:val="00811CB7"/>
    <w:rsid w:val="00853573"/>
    <w:rsid w:val="008B2814"/>
    <w:rsid w:val="009117DB"/>
    <w:rsid w:val="00967396"/>
    <w:rsid w:val="009F1F64"/>
    <w:rsid w:val="00A25B42"/>
    <w:rsid w:val="00A4128D"/>
    <w:rsid w:val="00A575A5"/>
    <w:rsid w:val="00A64A0E"/>
    <w:rsid w:val="00A849D2"/>
    <w:rsid w:val="00AF4080"/>
    <w:rsid w:val="00B407CA"/>
    <w:rsid w:val="00B656BF"/>
    <w:rsid w:val="00B94024"/>
    <w:rsid w:val="00C04752"/>
    <w:rsid w:val="00CA3AD9"/>
    <w:rsid w:val="00CE7A75"/>
    <w:rsid w:val="00D570D0"/>
    <w:rsid w:val="00DF61FD"/>
    <w:rsid w:val="00EA13C2"/>
    <w:rsid w:val="00EF3611"/>
    <w:rsid w:val="00F145A0"/>
    <w:rsid w:val="00F56B43"/>
    <w:rsid w:val="00F8186F"/>
    <w:rsid w:val="00FD3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1251A"/>
  <w15:chartTrackingRefBased/>
  <w15:docId w15:val="{F7A086F2-7302-4864-8BCD-688A7F338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5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45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45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45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45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45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5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5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5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5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45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45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45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45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45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5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5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5A0"/>
    <w:rPr>
      <w:rFonts w:eastAsiaTheme="majorEastAsia" w:cstheme="majorBidi"/>
      <w:color w:val="272727" w:themeColor="text1" w:themeTint="D8"/>
    </w:rPr>
  </w:style>
  <w:style w:type="paragraph" w:styleId="Title">
    <w:name w:val="Title"/>
    <w:basedOn w:val="Normal"/>
    <w:next w:val="Normal"/>
    <w:link w:val="TitleChar"/>
    <w:uiPriority w:val="10"/>
    <w:qFormat/>
    <w:rsid w:val="00F145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5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5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5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5A0"/>
    <w:pPr>
      <w:spacing w:before="160"/>
      <w:jc w:val="center"/>
    </w:pPr>
    <w:rPr>
      <w:i/>
      <w:iCs/>
      <w:color w:val="404040" w:themeColor="text1" w:themeTint="BF"/>
    </w:rPr>
  </w:style>
  <w:style w:type="character" w:customStyle="1" w:styleId="QuoteChar">
    <w:name w:val="Quote Char"/>
    <w:basedOn w:val="DefaultParagraphFont"/>
    <w:link w:val="Quote"/>
    <w:uiPriority w:val="29"/>
    <w:rsid w:val="00F145A0"/>
    <w:rPr>
      <w:i/>
      <w:iCs/>
      <w:color w:val="404040" w:themeColor="text1" w:themeTint="BF"/>
    </w:rPr>
  </w:style>
  <w:style w:type="paragraph" w:styleId="ListParagraph">
    <w:name w:val="List Paragraph"/>
    <w:basedOn w:val="Normal"/>
    <w:uiPriority w:val="34"/>
    <w:qFormat/>
    <w:rsid w:val="00F145A0"/>
    <w:pPr>
      <w:ind w:left="720"/>
      <w:contextualSpacing/>
    </w:pPr>
  </w:style>
  <w:style w:type="character" w:styleId="IntenseEmphasis">
    <w:name w:val="Intense Emphasis"/>
    <w:basedOn w:val="DefaultParagraphFont"/>
    <w:uiPriority w:val="21"/>
    <w:qFormat/>
    <w:rsid w:val="00F145A0"/>
    <w:rPr>
      <w:i/>
      <w:iCs/>
      <w:color w:val="0F4761" w:themeColor="accent1" w:themeShade="BF"/>
    </w:rPr>
  </w:style>
  <w:style w:type="paragraph" w:styleId="IntenseQuote">
    <w:name w:val="Intense Quote"/>
    <w:basedOn w:val="Normal"/>
    <w:next w:val="Normal"/>
    <w:link w:val="IntenseQuoteChar"/>
    <w:uiPriority w:val="30"/>
    <w:qFormat/>
    <w:rsid w:val="00F145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45A0"/>
    <w:rPr>
      <w:i/>
      <w:iCs/>
      <w:color w:val="0F4761" w:themeColor="accent1" w:themeShade="BF"/>
    </w:rPr>
  </w:style>
  <w:style w:type="character" w:styleId="IntenseReference">
    <w:name w:val="Intense Reference"/>
    <w:basedOn w:val="DefaultParagraphFont"/>
    <w:uiPriority w:val="32"/>
    <w:qFormat/>
    <w:rsid w:val="00F145A0"/>
    <w:rPr>
      <w:b/>
      <w:bCs/>
      <w:smallCaps/>
      <w:color w:val="0F4761" w:themeColor="accent1" w:themeShade="BF"/>
      <w:spacing w:val="5"/>
    </w:rPr>
  </w:style>
  <w:style w:type="table" w:styleId="TableGrid">
    <w:name w:val="Table Grid"/>
    <w:basedOn w:val="TableNormal"/>
    <w:uiPriority w:val="39"/>
    <w:rsid w:val="00A57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2B57"/>
    <w:rPr>
      <w:color w:val="467886" w:themeColor="hyperlink"/>
      <w:u w:val="single"/>
    </w:rPr>
  </w:style>
  <w:style w:type="character" w:styleId="UnresolvedMention">
    <w:name w:val="Unresolved Mention"/>
    <w:basedOn w:val="DefaultParagraphFont"/>
    <w:uiPriority w:val="99"/>
    <w:semiHidden/>
    <w:unhideWhenUsed/>
    <w:rsid w:val="002A2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19219">
      <w:bodyDiv w:val="1"/>
      <w:marLeft w:val="0"/>
      <w:marRight w:val="0"/>
      <w:marTop w:val="0"/>
      <w:marBottom w:val="0"/>
      <w:divBdr>
        <w:top w:val="none" w:sz="0" w:space="0" w:color="auto"/>
        <w:left w:val="none" w:sz="0" w:space="0" w:color="auto"/>
        <w:bottom w:val="none" w:sz="0" w:space="0" w:color="auto"/>
        <w:right w:val="none" w:sz="0" w:space="0" w:color="auto"/>
      </w:divBdr>
    </w:div>
    <w:div w:id="145324405">
      <w:bodyDiv w:val="1"/>
      <w:marLeft w:val="0"/>
      <w:marRight w:val="0"/>
      <w:marTop w:val="0"/>
      <w:marBottom w:val="0"/>
      <w:divBdr>
        <w:top w:val="none" w:sz="0" w:space="0" w:color="auto"/>
        <w:left w:val="none" w:sz="0" w:space="0" w:color="auto"/>
        <w:bottom w:val="none" w:sz="0" w:space="0" w:color="auto"/>
        <w:right w:val="none" w:sz="0" w:space="0" w:color="auto"/>
      </w:divBdr>
    </w:div>
    <w:div w:id="343477504">
      <w:bodyDiv w:val="1"/>
      <w:marLeft w:val="0"/>
      <w:marRight w:val="0"/>
      <w:marTop w:val="0"/>
      <w:marBottom w:val="0"/>
      <w:divBdr>
        <w:top w:val="none" w:sz="0" w:space="0" w:color="auto"/>
        <w:left w:val="none" w:sz="0" w:space="0" w:color="auto"/>
        <w:bottom w:val="none" w:sz="0" w:space="0" w:color="auto"/>
        <w:right w:val="none" w:sz="0" w:space="0" w:color="auto"/>
      </w:divBdr>
    </w:div>
    <w:div w:id="351536546">
      <w:bodyDiv w:val="1"/>
      <w:marLeft w:val="0"/>
      <w:marRight w:val="0"/>
      <w:marTop w:val="0"/>
      <w:marBottom w:val="0"/>
      <w:divBdr>
        <w:top w:val="none" w:sz="0" w:space="0" w:color="auto"/>
        <w:left w:val="none" w:sz="0" w:space="0" w:color="auto"/>
        <w:bottom w:val="none" w:sz="0" w:space="0" w:color="auto"/>
        <w:right w:val="none" w:sz="0" w:space="0" w:color="auto"/>
      </w:divBdr>
    </w:div>
    <w:div w:id="515340712">
      <w:bodyDiv w:val="1"/>
      <w:marLeft w:val="0"/>
      <w:marRight w:val="0"/>
      <w:marTop w:val="0"/>
      <w:marBottom w:val="0"/>
      <w:divBdr>
        <w:top w:val="none" w:sz="0" w:space="0" w:color="auto"/>
        <w:left w:val="none" w:sz="0" w:space="0" w:color="auto"/>
        <w:bottom w:val="none" w:sz="0" w:space="0" w:color="auto"/>
        <w:right w:val="none" w:sz="0" w:space="0" w:color="auto"/>
      </w:divBdr>
    </w:div>
    <w:div w:id="641816500">
      <w:bodyDiv w:val="1"/>
      <w:marLeft w:val="0"/>
      <w:marRight w:val="0"/>
      <w:marTop w:val="0"/>
      <w:marBottom w:val="0"/>
      <w:divBdr>
        <w:top w:val="none" w:sz="0" w:space="0" w:color="auto"/>
        <w:left w:val="none" w:sz="0" w:space="0" w:color="auto"/>
        <w:bottom w:val="none" w:sz="0" w:space="0" w:color="auto"/>
        <w:right w:val="none" w:sz="0" w:space="0" w:color="auto"/>
      </w:divBdr>
    </w:div>
    <w:div w:id="773475653">
      <w:bodyDiv w:val="1"/>
      <w:marLeft w:val="0"/>
      <w:marRight w:val="0"/>
      <w:marTop w:val="0"/>
      <w:marBottom w:val="0"/>
      <w:divBdr>
        <w:top w:val="none" w:sz="0" w:space="0" w:color="auto"/>
        <w:left w:val="none" w:sz="0" w:space="0" w:color="auto"/>
        <w:bottom w:val="none" w:sz="0" w:space="0" w:color="auto"/>
        <w:right w:val="none" w:sz="0" w:space="0" w:color="auto"/>
      </w:divBdr>
    </w:div>
    <w:div w:id="901216372">
      <w:bodyDiv w:val="1"/>
      <w:marLeft w:val="0"/>
      <w:marRight w:val="0"/>
      <w:marTop w:val="0"/>
      <w:marBottom w:val="0"/>
      <w:divBdr>
        <w:top w:val="none" w:sz="0" w:space="0" w:color="auto"/>
        <w:left w:val="none" w:sz="0" w:space="0" w:color="auto"/>
        <w:bottom w:val="none" w:sz="0" w:space="0" w:color="auto"/>
        <w:right w:val="none" w:sz="0" w:space="0" w:color="auto"/>
      </w:divBdr>
    </w:div>
    <w:div w:id="1315643568">
      <w:bodyDiv w:val="1"/>
      <w:marLeft w:val="0"/>
      <w:marRight w:val="0"/>
      <w:marTop w:val="0"/>
      <w:marBottom w:val="0"/>
      <w:divBdr>
        <w:top w:val="none" w:sz="0" w:space="0" w:color="auto"/>
        <w:left w:val="none" w:sz="0" w:space="0" w:color="auto"/>
        <w:bottom w:val="none" w:sz="0" w:space="0" w:color="auto"/>
        <w:right w:val="none" w:sz="0" w:space="0" w:color="auto"/>
      </w:divBdr>
    </w:div>
    <w:div w:id="1491674068">
      <w:bodyDiv w:val="1"/>
      <w:marLeft w:val="0"/>
      <w:marRight w:val="0"/>
      <w:marTop w:val="0"/>
      <w:marBottom w:val="0"/>
      <w:divBdr>
        <w:top w:val="none" w:sz="0" w:space="0" w:color="auto"/>
        <w:left w:val="none" w:sz="0" w:space="0" w:color="auto"/>
        <w:bottom w:val="none" w:sz="0" w:space="0" w:color="auto"/>
        <w:right w:val="none" w:sz="0" w:space="0" w:color="auto"/>
      </w:divBdr>
    </w:div>
    <w:div w:id="194892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dixon@rtsl.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229</Words>
  <Characters>1309</Characters>
  <Application>Microsoft Office Word</Application>
  <DocSecurity>4</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Sooyoung Kim</dc:creator>
  <cp:keywords/>
  <dc:description/>
  <cp:lastModifiedBy>Christopher Lee</cp:lastModifiedBy>
  <cp:revision>2</cp:revision>
  <dcterms:created xsi:type="dcterms:W3CDTF">2025-02-05T18:02:00Z</dcterms:created>
  <dcterms:modified xsi:type="dcterms:W3CDTF">2025-02-05T18:02:00Z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2024-08-26T17:15:56Z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762de5b4-45da-4234-a5e1-ee3e978f8a57</vt:lpwstr>
  </property>
  <property fmtid="{D5CDD505-2E9C-101B-9397-08002B2CF9AE}" pid="7" name="MSIP_Label_defa4170-0d19-0005-0004-bc88714345d2_ActionId">
    <vt:lpwstr>78be9f12-b751-43df-8aae-dedbdc1d5838</vt:lpwstr>
  </property>
  <property fmtid="{D5CDD505-2E9C-101B-9397-08002B2CF9AE}" pid="8" name="MSIP_Label_defa4170-0d19-0005-0004-bc88714345d2_ContentBits">
    <vt:lpwstr>0</vt:lpwstr>
  </property>
</Properties>
</file>