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6.wmf" ContentType="image/x-wmf"/>
  <Override PartName="/word/media/image5.wmf" ContentType="image/x-wmf"/>
  <Override PartName="/word/media/image1.png" ContentType="image/png"/>
  <Override PartName="/word/media/image2.wmf" ContentType="image/x-wmf"/>
  <Override PartName="/word/media/image3.wmf" ContentType="image/x-wmf"/>
  <Override PartName="/word/media/image4.wmf" ContentType="image/x-wm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120" w:after="240"/>
        <w:jc w:val="center"/>
        <w:rPr>
          <w:rFonts w:cs="Arial"/>
          <w:b/>
          <w:b/>
          <w:sz w:val="40"/>
          <w:szCs w:val="40"/>
        </w:rPr>
      </w:pPr>
      <w:r>
        <w:rPr>
          <w:rFonts w:cs="Arial"/>
          <w:b/>
          <w:sz w:val="40"/>
          <w:szCs w:val="40"/>
        </w:rPr>
        <w:t>O telescópio BINGO e a Cosmologia com a Linha de 21 cm: uma nova janela para explorar o universo escuro</w:t>
      </w:r>
    </w:p>
    <w:p>
      <w:pPr>
        <w:pStyle w:val="Normal"/>
        <w:pBdr/>
        <w:spacing w:lineRule="auto" w:line="360" w:before="120" w:after="240"/>
        <w:jc w:val="center"/>
        <w:rPr>
          <w:rStyle w:val="Pagenumber"/>
        </w:rPr>
      </w:pPr>
      <w:r>
        <w:rPr>
          <w:rFonts w:cs="Arial"/>
          <w:b/>
          <w:sz w:val="32"/>
          <w:szCs w:val="32"/>
        </w:rPr>
        <w:t>Colaboração BINGO</w:t>
      </w:r>
    </w:p>
    <w:p>
      <w:pPr>
        <w:sectPr>
          <w:footerReference w:type="default" r:id="rId2"/>
          <w:type w:val="nextPage"/>
          <w:pgSz w:w="11906" w:h="16838"/>
          <w:pgMar w:left="1701" w:right="1134" w:header="0" w:top="1701" w:footer="709" w:bottom="1134" w:gutter="0"/>
          <w:pgNumType w:fmt="decimal"/>
          <w:formProt w:val="false"/>
          <w:vAlign w:val="center"/>
          <w:textDirection w:val="lrTb"/>
          <w:docGrid w:type="default" w:linePitch="360" w:charSpace="4294965247"/>
        </w:sectPr>
        <w:pStyle w:val="Normal"/>
        <w:spacing w:lineRule="auto" w:line="360" w:before="120" w:after="240"/>
        <w:jc w:val="center"/>
        <w:rPr>
          <w:rFonts w:cs="Arial"/>
          <w:b/>
          <w:b/>
          <w:sz w:val="32"/>
          <w:szCs w:val="32"/>
        </w:rPr>
      </w:pPr>
      <w:r>
        <w:rPr>
          <w:rFonts w:cs="Arial"/>
          <w:b/>
          <w:sz w:val="32"/>
          <w:szCs w:val="32"/>
        </w:rPr>
        <w:t>Sumário Executivo - Junho 201</w:t>
      </w:r>
    </w:p>
    <w:p>
      <w:pPr>
        <w:pStyle w:val="ListParagraph"/>
        <w:numPr>
          <w:ilvl w:val="0"/>
          <w:numId w:val="2"/>
        </w:numPr>
        <w:spacing w:lineRule="auto" w:line="360" w:before="120" w:after="240"/>
        <w:ind w:left="284" w:hanging="284"/>
        <w:jc w:val="both"/>
        <w:rPr>
          <w:rFonts w:cs="Arial"/>
          <w:b/>
          <w:b/>
          <w:sz w:val="24"/>
          <w:szCs w:val="24"/>
        </w:rPr>
      </w:pPr>
      <w:r>
        <w:rPr>
          <w:rFonts w:cs="Arial"/>
          <w:b/>
          <w:sz w:val="24"/>
          <w:szCs w:val="24"/>
        </w:rPr>
        <w:t>INTRODUÇÃO</w:t>
      </w:r>
    </w:p>
    <w:p>
      <w:pPr>
        <w:pStyle w:val="Normal"/>
        <w:spacing w:before="120" w:after="120"/>
        <w:jc w:val="both"/>
        <w:rPr/>
      </w:pPr>
      <w:r>
        <w:rPr>
          <w:rFonts w:cs="Arial"/>
        </w:rPr>
        <w:t>Nos últimos tempos, novos resultados observacionais possibilitaram uma nova abordagem aos aspectos fenomenológicos da Relatividade Geral no contexto da Cosmologia. Estes resultados sugerem uma visão surpreendente do Universo em grandes escalas, que inclui a aceleração cósmica, medida em 1998 por dois grupos independentes [1, 2]. Ela pode ser explicada postulando-se uma pressão negativa gerada a partir de um novo componente do universo, conhecido como Energia Escura. A combinação de diferentes observações, incluindo a Radiação Cósmica de Fundo em Microondas (CMB), as supernovas tipo Ia e as oscilações acústicas de bárions (BAOs) deixa</w:t>
      </w:r>
      <w:r>
        <w:rPr>
          <w:rFonts w:cs="Arial"/>
        </w:rPr>
        <w:t>m</w:t>
      </w:r>
      <w:r>
        <w:rPr>
          <w:rFonts w:cs="Arial"/>
        </w:rPr>
        <w:t xml:space="preserve"> poucas dúvidas sobre a existência desta componente e o foco principal da cosmologia observacional é </w:t>
      </w:r>
      <w:r>
        <w:rPr>
          <w:rFonts w:cs="Arial"/>
        </w:rPr>
        <w:t>o estudo das</w:t>
      </w:r>
      <w:r>
        <w:rPr>
          <w:rFonts w:cs="Arial"/>
        </w:rPr>
        <w:t xml:space="preserve"> propriedades detalhadas </w:t>
      </w:r>
      <w:r>
        <w:rPr>
          <w:rFonts w:cs="Arial"/>
        </w:rPr>
        <w:t>dessa importante componente do universo</w:t>
      </w:r>
      <w:r>
        <w:rPr>
          <w:rFonts w:cs="Arial"/>
        </w:rPr>
        <w:t>.</w:t>
      </w:r>
    </w:p>
    <w:p>
      <w:pPr>
        <w:pStyle w:val="Normal"/>
        <w:spacing w:before="120" w:after="120"/>
        <w:jc w:val="both"/>
        <w:rPr/>
      </w:pPr>
      <w:r>
        <w:rPr>
          <w:rFonts w:cs="Arial"/>
        </w:rPr>
        <w:t>Os três últimas décadas marcaram o início da cosmologia de precisão, uma ciência relativamente nova. Em uma série de grandes experimentos foi possível concluir a composição do Universo, como na figura.</w:t>
      </w:r>
    </w:p>
    <w:p>
      <w:pPr>
        <w:pStyle w:val="Normal"/>
        <w:spacing w:before="120" w:after="12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31840" cy="2464435"/>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831840" cy="2464435"/>
                    </a:xfrm>
                    <a:prstGeom prst="rect">
                      <a:avLst/>
                    </a:prstGeom>
                  </pic:spPr>
                </pic:pic>
              </a:graphicData>
            </a:graphic>
          </wp:anchor>
        </w:drawing>
      </w:r>
      <w:r>
        <w:rPr>
          <w:rFonts w:cs="Arial"/>
        </w:rPr>
        <w:t>Embora tenhamos uma informação bastante precisa no que diz respeito a proporção dos constituintes do Universo, nada se sabe sobre as propriedades da Matéria Escura ou da Energia Escura a não ser a sua existência.</w:t>
      </w:r>
    </w:p>
    <w:p>
      <w:pPr>
        <w:pStyle w:val="Normal"/>
        <w:spacing w:before="120" w:after="120"/>
        <w:jc w:val="both"/>
        <w:rPr/>
      </w:pPr>
      <w:r>
        <w:rPr>
          <w:rFonts w:cs="Arial"/>
        </w:rPr>
        <w:t xml:space="preserve">BAO é considerada uma das ferramentas mais poderosas para identificar as propriedades da energia escura, e pode ser identificada como uma assinatura na distribuição da matéria que aparece quando o Universo tinha cerca de 380.000 de nos (a chamada época de recombinação - Figura 1). No contexto do modelo cosmológico padrão (ΛCDM), BAOs manifestam-se como um </w:t>
      </w:r>
      <w:r>
        <w:rPr>
          <w:rFonts w:cs="Arial"/>
        </w:rPr>
        <w:t xml:space="preserve">pequeno </w:t>
      </w:r>
      <w:r>
        <w:rPr>
          <w:rFonts w:cs="Arial"/>
        </w:rPr>
        <w:t xml:space="preserve">excesso de galáxias numa escala de distância típica de ~150 Mpc </w:t>
      </w:r>
      <w:r>
        <w:rPr>
          <w:rFonts w:cs="Arial"/>
        </w:rPr>
        <w:t>(cerca de 200 vezes a distância de nossa galáxia até a galáxia mais próxima)</w:t>
      </w:r>
      <w:r>
        <w:rPr>
          <w:rFonts w:cs="Arial"/>
        </w:rPr>
        <w:t>. Essas oscilações são decorrente das mesmas oscilações que produzem as características dominantes vistas no espectro de temperatura da CMB.</w:t>
      </w:r>
    </w:p>
    <w:p>
      <w:pPr>
        <w:pStyle w:val="Normal"/>
        <w:spacing w:before="120" w:after="120"/>
        <w:jc w:val="both"/>
        <w:rPr>
          <w:rFonts w:cs="Arial"/>
        </w:rPr>
      </w:pPr>
      <w:r>
        <w:rPr>
          <w:rFonts w:cs="Arial"/>
        </w:rPr>
        <w:t xml:space="preserve">Até o momento BAOs foram observados somente nos levantamentos de redshifts de galáxias, na faixa óptica do espectro eletromagnético e é importante que elas sejam confirmadas em outras bandas. A faixa do espectro eletromagnético mais adequada é a de rádio, através do mapeamento da intensidade de emissão em 21 cm  da transição hiperfina </w:t>
      </w:r>
      <w:r>
        <w:rPr>
          <w:rFonts w:cs="Arial"/>
        </w:rPr>
        <w:t xml:space="preserve">do </w:t>
      </w:r>
      <w:r>
        <w:rPr>
          <w:rFonts w:cs="Arial"/>
        </w:rPr>
        <w:t xml:space="preserve">hidrogênio neutro (doravante HI) de galáxias distantes. </w:t>
      </w:r>
    </w:p>
    <w:p>
      <w:pPr>
        <w:pStyle w:val="Normal"/>
        <w:spacing w:before="120" w:after="120"/>
        <w:jc w:val="both"/>
        <w:rPr>
          <w:rFonts w:cs="Arial"/>
        </w:rPr>
      </w:pPr>
      <w:r>
        <w:rPr>
          <w:rFonts w:cs="Arial"/>
        </w:rPr>
        <w:t>O telescópio BINGO (BAO from Integrated Neutral Gas Observations, do inglês, BAO a partir de observações Integradas de gás neutro) é um instrumento projetado especificamente para este tipo de observação. Seus resultados fornecerão a primeiras medidas de BAOs em rádio e darão uma contribuição fundamental para o estudo da energia escura. O objetivo é ser o primeiro instrumento a detectar BAO na faixa de rádio (~ 30 cm) e mapear a distribuição tridimensional de HI em cerca de dois anos de observações. Para projetar, construir e operar o BINGO, foi estabelecida uma colaboração internacional entre Brasil, Uruguai, Reino Unido e Suíça.</w:t>
      </w:r>
    </w:p>
    <w:p>
      <w:pPr>
        <w:pStyle w:val="Normal"/>
        <w:spacing w:lineRule="auto" w:line="360" w:before="120" w:after="240"/>
        <w:jc w:val="center"/>
        <w:rPr>
          <w:rFonts w:ascii="Arial" w:hAnsi="Arial" w:cs="Arial"/>
          <w:sz w:val="24"/>
          <w:szCs w:val="24"/>
        </w:rPr>
      </w:pPr>
      <w:r>
        <w:rPr/>
        <w:drawing>
          <wp:inline distT="0" distB="0" distL="0" distR="0">
            <wp:extent cx="4507230" cy="202882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4"/>
                    <a:stretch>
                      <a:fillRect/>
                    </a:stretch>
                  </pic:blipFill>
                  <pic:spPr bwMode="auto">
                    <a:xfrm>
                      <a:off x="0" y="0"/>
                      <a:ext cx="4507230" cy="2028825"/>
                    </a:xfrm>
                    <a:prstGeom prst="rect">
                      <a:avLst/>
                    </a:prstGeom>
                  </pic:spPr>
                </pic:pic>
              </a:graphicData>
            </a:graphic>
          </wp:inline>
        </w:drawing>
      </w:r>
    </w:p>
    <w:p>
      <w:pPr>
        <w:pStyle w:val="Normal"/>
        <w:spacing w:lineRule="auto" w:line="240" w:before="120" w:after="240"/>
        <w:jc w:val="both"/>
        <w:rPr>
          <w:rFonts w:cs="Arial"/>
          <w:sz w:val="20"/>
          <w:szCs w:val="20"/>
        </w:rPr>
      </w:pPr>
      <w:r>
        <w:rPr>
          <w:rFonts w:cs="Arial"/>
          <w:sz w:val="20"/>
          <w:szCs w:val="20"/>
        </w:rPr>
        <w:t>FIG. 1: História recente do universo e da frequência (alterada pelo redshift) da linha de 21 centímetros. A época do BAO, depois da época de reionização, será o alvo do telescópio BINGO. Nesta época a energia escura domina a expansão do universo e é possível investigá-la.</w:t>
      </w:r>
    </w:p>
    <w:p>
      <w:pPr>
        <w:pStyle w:val="Normal"/>
        <w:spacing w:lineRule="auto" w:line="240" w:before="120" w:after="240"/>
        <w:jc w:val="both"/>
        <w:rPr>
          <w:rFonts w:cs="Arial"/>
          <w:sz w:val="20"/>
          <w:szCs w:val="20"/>
        </w:rPr>
      </w:pPr>
      <w:r>
        <w:rPr>
          <w:rFonts w:cs="Arial"/>
          <w:sz w:val="20"/>
          <w:szCs w:val="20"/>
        </w:rPr>
      </w:r>
    </w:p>
    <w:p>
      <w:pPr>
        <w:pStyle w:val="Normal"/>
        <w:spacing w:lineRule="auto" w:line="360" w:before="120" w:after="240"/>
        <w:jc w:val="both"/>
        <w:rPr/>
      </w:pPr>
      <w:r>
        <w:rPr>
          <w:rFonts w:cs="Arial"/>
          <w:b/>
          <w:sz w:val="24"/>
          <w:szCs w:val="24"/>
        </w:rPr>
        <w:t xml:space="preserve">2. </w:t>
      </w:r>
      <w:r>
        <w:rPr>
          <w:rFonts w:cs="Arial"/>
          <w:b/>
          <w:sz w:val="24"/>
          <w:szCs w:val="24"/>
        </w:rPr>
        <w:t>O que é possível obter?</w:t>
      </w:r>
    </w:p>
    <w:p>
      <w:pPr>
        <w:pStyle w:val="Normal"/>
        <w:spacing w:before="120" w:after="120"/>
        <w:jc w:val="both"/>
        <w:rPr/>
      </w:pPr>
      <w:r>
        <w:rPr>
          <w:rFonts w:cs="Arial"/>
        </w:rPr>
        <w:t xml:space="preserve">Uma abordagem comum para estudar a estrutura em larga escala do Universo (LSS) é realizar um grande levantamento de redshifts de galáxias distantes, na faixa óptica do espectro, e dele inferir o contraste de densidade e a função de correlação de dois pontos. Na banda de rádio, a emissão predominante, mas de baixa intensidade, é a linha de 21 centímetros do HI, Isso significa que a detecção de galáxias individuais em z ~ 1 </w:t>
      </w:r>
      <w:r>
        <w:rPr>
          <w:rFonts w:cs="Arial"/>
        </w:rPr>
        <w:t>(uma luz que foi emitida quando o universo tinha cerca de 6 bilhões de anos)</w:t>
      </w:r>
      <w:r>
        <w:rPr>
          <w:rFonts w:cs="Arial"/>
        </w:rPr>
        <w:t xml:space="preserve"> requer instrumentos de área muito grande (milhares de m</w:t>
      </w:r>
      <w:r>
        <w:rPr>
          <w:rFonts w:cs="Arial"/>
          <w:vertAlign w:val="superscript"/>
        </w:rPr>
        <w:t>2</w:t>
      </w:r>
      <w:r>
        <w:rPr>
          <w:rFonts w:cs="Arial"/>
        </w:rPr>
        <w:t xml:space="preserve">), o que motivou a proposta do SKA (Square Kilometer Array) [3 – 5]. Uma ideia inovadora [6 – 9] envolve a medida da emissão integrada da LSS, em vez de estudar objetos individuais, numa técnica conhecida como mapeamento de intensidade [7]. </w:t>
      </w:r>
    </w:p>
    <w:p>
      <w:pPr>
        <w:pStyle w:val="Normal"/>
        <w:spacing w:before="120" w:after="120"/>
        <w:jc w:val="both"/>
        <w:rPr/>
      </w:pPr>
      <w:r>
        <w:rPr>
          <w:rFonts w:cs="Arial"/>
        </w:rPr>
        <w:t xml:space="preserve">A intensidade do sinal do HI, bem como de suas flutuações, é da ordem de 100 </w:t>
      </w:r>
      <w:r>
        <w:rPr>
          <w:rFonts w:cs="Arial"/>
        </w:rPr>
        <w:t>μ</w:t>
      </w:r>
      <w:r>
        <w:rPr>
          <w:rFonts w:cs="Arial"/>
        </w:rPr>
        <w:t>K enquanto a intensidade da emissão contínua nessa faixa de rádio é ~ 5 K. Por outro lado, a diferença entre as assinaturas espectrais da emissão Galáctica, de radiofontes pontuais e da emissão de HI permite que os sinais sejam separados.</w:t>
      </w:r>
    </w:p>
    <w:p>
      <w:pPr>
        <w:pStyle w:val="Normal"/>
        <w:spacing w:before="120" w:after="120"/>
        <w:jc w:val="both"/>
        <w:rPr/>
      </w:pPr>
      <w:r>
        <w:rPr>
          <w:rFonts w:cs="Arial"/>
        </w:rPr>
        <w:t xml:space="preserve">O BINGO operará em uma faixa de frequência de </w:t>
      </w:r>
      <w:r>
        <w:rPr>
          <w:rFonts w:cs="Arial"/>
        </w:rPr>
        <w:t xml:space="preserve"> </w:t>
      </w:r>
      <w:r>
        <w:rPr>
          <w:rFonts w:cs="Arial"/>
          <w:sz w:val="20"/>
          <w:szCs w:val="20"/>
        </w:rPr>
        <w:t xml:space="preserve">0.96 – 1.260 MHz, </w:t>
      </w:r>
      <w:r>
        <w:rPr>
          <w:rFonts w:cs="Arial"/>
          <w:sz w:val="20"/>
          <w:szCs w:val="20"/>
        </w:rPr>
        <w:t>entre o UHF e a faixa L, na classificação da IEEE. Essa é a mesma faixa de operação da comunicação de telefones móveis, navegação por satélite (GPS), e transponders aéreos. Assim, é crucial a boa escolha da localização do experimento para minimizar o ruído eletromagnético.</w:t>
      </w:r>
    </w:p>
    <w:p>
      <w:pPr>
        <w:pStyle w:val="Normal"/>
        <w:spacing w:before="120" w:after="120"/>
        <w:jc w:val="both"/>
        <w:rPr>
          <w:rFonts w:cs="Arial"/>
        </w:rPr>
      </w:pPr>
      <w:r>
        <w:rPr>
          <w:rFonts w:cs="Arial"/>
        </w:rPr>
        <w:t xml:space="preserve">O principal objetivo do bingo é o mapeamento de intensidade do HI, mas outros objetivos científicos e uma quantidade de ciência original podem ser produzidos com o mesmo instrumento. O  tempo de integração longo e a estabilidade espectral permitirão também o estudo de pulsares, linhas de recombinação galácticas, emissão sincrotron difusa e explosões rápidas em rádio (Fast Radio Bursts – FRB) [11 – 20]. Os mapas, espectros de potência e índices espectrais produzidos com as medidas do BINGO ajudarão no projeto de futuros experimentos para estudos da CMB. </w:t>
      </w:r>
    </w:p>
    <w:p>
      <w:pPr>
        <w:pStyle w:val="Normal"/>
        <w:spacing w:before="120" w:after="120"/>
        <w:jc w:val="both"/>
        <w:rPr/>
      </w:pPr>
      <w:r>
        <w:rPr>
          <w:rFonts w:cs="Arial"/>
        </w:rPr>
        <w:t xml:space="preserve">É importante destacar que nenhum receptor ou hardware adicional seria necessário para realizar esses estudos, apenas um esforço extra no que tange ao armazenamento e distribuição de dados. </w:t>
      </w:r>
    </w:p>
    <w:p>
      <w:pPr>
        <w:pStyle w:val="Normal"/>
        <w:spacing w:before="120" w:after="120"/>
        <w:jc w:val="both"/>
        <w:rPr>
          <w:highlight w:val="yellow"/>
        </w:rPr>
      </w:pPr>
      <w:r>
        <w:rPr>
          <w:rFonts w:cs="Arial"/>
          <w:highlight w:val="yellow"/>
        </w:rPr>
        <w:t>Projetos de extensão, com conteúdo educacional de grande impacto</w:t>
      </w:r>
      <w:r>
        <w:rPr>
          <w:rFonts w:cs="Arial"/>
          <w:highlight w:val="yellow"/>
          <w:u w:val="single"/>
        </w:rPr>
        <w:t>,</w:t>
      </w:r>
      <w:r>
        <w:rPr>
          <w:rFonts w:cs="Arial"/>
          <w:highlight w:val="yellow"/>
        </w:rPr>
        <w:t xml:space="preserve"> envolvendo a comunicação da ciência do telescópio para escolas e universidades podem ser desenvolvidos em função do envolvimento de cientistas de diversas instituições, no país e no exterior, com experiência nesse tipo de atividade. </w:t>
      </w:r>
      <w:r>
        <w:rPr>
          <w:rFonts w:cs="Arial"/>
          <w:highlight w:val="yellow"/>
        </w:rPr>
        <w:t>O equipamento de grande porte instalado pode ser facilmente visitado, com exigências bastante moderadas de cautela e é possível a construção de equipamentos permanentes fixos ou itinerantes de divulgação à ciência, para a Educação Básica e para o Ensino Superior. Oferecendo ainda uma área de atuação promissora para os egressos dos cursos de ciência básica da região, que podem ser capacitados e atuar como multiplicadores.</w:t>
      </w:r>
    </w:p>
    <w:p>
      <w:pPr>
        <w:pStyle w:val="Normal"/>
        <w:spacing w:before="120" w:after="240"/>
        <w:jc w:val="both"/>
        <w:rPr>
          <w:rFonts w:cs="Arial"/>
        </w:rPr>
      </w:pPr>
      <w:r>
        <w:rPr>
          <w:rFonts w:cs="Arial"/>
          <w:highlight w:val="yellow"/>
        </w:rPr>
        <w:t>O outro objetivo importante é o papel que o BINGO terá para a indústria nacional e para a capacitação de mão de obra científica para projetos tecnológicos. Quase todos os componentes podem ser desenvolvidos, produzidos e construídos no Brasil por colaboradores brasileiros e pela indústria brasileira.</w:t>
      </w:r>
    </w:p>
    <w:p>
      <w:pPr>
        <w:pStyle w:val="Normal"/>
        <w:spacing w:before="120" w:after="120"/>
        <w:jc w:val="both"/>
        <w:rPr>
          <w:rFonts w:cs="Arial"/>
        </w:rPr>
      </w:pPr>
      <w:r>
        <w:rPr>
          <w:rFonts w:cs="Arial"/>
        </w:rPr>
      </w:r>
    </w:p>
    <w:p>
      <w:pPr>
        <w:pStyle w:val="Normal"/>
        <w:spacing w:lineRule="auto" w:line="360" w:before="120" w:after="240"/>
        <w:jc w:val="both"/>
        <w:rPr>
          <w:rFonts w:cs="Arial"/>
          <w:sz w:val="24"/>
          <w:szCs w:val="24"/>
        </w:rPr>
      </w:pPr>
      <w:r>
        <w:rPr>
          <w:rFonts w:cs="Arial"/>
          <w:b/>
          <w:sz w:val="24"/>
          <w:szCs w:val="24"/>
        </w:rPr>
        <w:t>3. O INSTRUMENTO</w:t>
      </w:r>
    </w:p>
    <w:p>
      <w:pPr>
        <w:pStyle w:val="Normal"/>
        <w:spacing w:before="120" w:after="120"/>
        <w:jc w:val="both"/>
        <w:rPr>
          <w:rFonts w:cs="Arial"/>
        </w:rPr>
      </w:pPr>
      <w:r>
        <w:rPr>
          <w:rFonts w:cs="Arial"/>
        </w:rPr>
        <w:t xml:space="preserve">O radiotelescópio BINGO foi cuidadosamente projetado para evitar os efeitos sistemáticos que podem resultar em contaminação do sinal de HI por componentes Galácticas. O conceito do instrumento envolve 2 espelhos parabólicos “off-axis” com cerca de 40 m de diâmetro,  e um arranjo receptor com cerca de 50 cornetas no plano focal. O projeto óptico faz com que a iluminação das cornetas seja quase uniforme , com uma variação de ~ 1 dB do centro para as bordas. Assim, uma faixa  de ~ 10 graus em declinação pode ser observada sem mover o telescópio. A estratégia de observação do BINGO permitirá a cobertura de quase 4000 graus quadrados no céu a cada 24h. </w:t>
      </w:r>
    </w:p>
    <w:p>
      <w:pPr>
        <w:pStyle w:val="Normal"/>
        <w:spacing w:before="120" w:after="120"/>
        <w:jc w:val="both"/>
        <w:rPr>
          <w:rFonts w:cs="Arial"/>
        </w:rPr>
      </w:pPr>
      <w:r>
        <w:rPr>
          <w:rFonts w:cs="Arial"/>
        </w:rPr>
        <w:t>Um telescópio com dois espelhos, um plano focal grande e um sistema receptor extremamente estável é a abordagem de mais baixo custo para as medições de intensidade de mapeamento dos BAOs a baixos redshifts [10]. Os receptores, não refrigerados, vão operar na faixa de frequência de 0,96GHz a 1,26 GHz (correspondente a um intervalo de redshift z = 0,13 – 0,48, quando o Universo tinha entre 8 e 12 bilhões de anos) a uma temperatura de sistema de sistema de ~ 50 K. O BINGO será o primeiro telescópio do mundo operando nesta faixa de frequência com o objetivo de estudar BAOs com mapeamento da linha de 21 cm.</w:t>
      </w:r>
    </w:p>
    <w:p>
      <w:pPr>
        <w:pStyle w:val="Normal"/>
        <w:spacing w:before="120" w:after="120"/>
        <w:jc w:val="both"/>
        <w:rPr>
          <w:rFonts w:cs="Arial"/>
        </w:rPr>
      </w:pPr>
      <w:r>
        <w:rPr>
          <w:rFonts w:cs="Arial"/>
        </w:rPr>
        <w:t xml:space="preserve">O princípio orientador na concepção do BINGO tem sido, para todos os componentes, buscar um projeto tão simples quanto possível para reduzir custos e despesas com operação e manutenção. Outra vantagem de um projeto simples é agilidade na construção, aumentando a competitividade e o tempo de operação durante a janela de oportunidades. As partes principais do telescópio BINGO são brevemente descritas a seguir. </w:t>
      </w:r>
    </w:p>
    <w:p>
      <w:pPr>
        <w:pStyle w:val="Normal"/>
        <w:spacing w:before="120" w:after="120"/>
        <w:jc w:val="both"/>
        <w:rPr>
          <w:rFonts w:cs="Arial"/>
        </w:rPr>
      </w:pPr>
      <w:r>
        <w:rPr>
          <w:rFonts w:cs="Arial"/>
        </w:rPr>
      </w:r>
    </w:p>
    <w:p>
      <w:pPr>
        <w:pStyle w:val="Normal"/>
        <w:spacing w:lineRule="auto" w:line="360" w:before="120" w:after="240"/>
        <w:jc w:val="both"/>
        <w:rPr>
          <w:rFonts w:ascii="Arial" w:hAnsi="Arial" w:cs="Arial"/>
          <w:b/>
          <w:b/>
          <w:sz w:val="24"/>
          <w:szCs w:val="24"/>
        </w:rPr>
      </w:pPr>
      <w:r>
        <w:rPr>
          <w:rFonts w:cs="Arial" w:ascii="Arial" w:hAnsi="Arial"/>
          <w:b/>
          <w:sz w:val="24"/>
          <w:szCs w:val="24"/>
        </w:rPr>
        <w:t>2.1 Receptores</w:t>
      </w:r>
    </w:p>
    <w:p>
      <w:pPr>
        <w:pStyle w:val="Normal"/>
        <w:spacing w:before="120" w:after="240"/>
        <w:jc w:val="both"/>
        <w:rPr>
          <w:rFonts w:cs="Arial"/>
        </w:rPr>
      </w:pPr>
      <w:r>
        <w:rPr>
          <w:rFonts w:cs="Arial"/>
        </w:rPr>
        <w:t>A eletrônica dos receptores será composta por componentes comerciais de altíssima qualidade e baixo custo, de fácil aquisição ou produção pela indústria brasileira. O protótipo será montado e testado por membros da colaboração e a produção dos 50 receptores, bem como algumas partes de reserva, será integrada por uma empresa comercial, de acordo com o projeto especificado, e testado nas instalações do INPE. A Figura 2 contém um diagrama esquemático do receptor.  As especificações técnicas dos módulos necessários encontram-se na Tabela 1.</w:t>
      </w:r>
    </w:p>
    <w:p>
      <w:pPr>
        <w:pStyle w:val="Normal"/>
        <w:spacing w:lineRule="auto" w:line="360" w:before="120" w:after="240"/>
        <w:jc w:val="center"/>
        <w:rPr>
          <w:rFonts w:ascii="Arial" w:hAnsi="Arial" w:cs="Arial"/>
          <w:sz w:val="24"/>
          <w:szCs w:val="24"/>
        </w:rPr>
      </w:pPr>
      <w:r>
        <w:rPr/>
        <w:drawing>
          <wp:inline distT="0" distB="0" distL="0" distR="0">
            <wp:extent cx="5200650" cy="1356360"/>
            <wp:effectExtent l="0" t="0" r="0" b="0"/>
            <wp:docPr id="4"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descr=""/>
                    <pic:cNvPicPr>
                      <a:picLocks noChangeAspect="1" noChangeArrowheads="1"/>
                    </pic:cNvPicPr>
                  </pic:nvPicPr>
                  <pic:blipFill>
                    <a:blip r:embed="rId5"/>
                    <a:stretch>
                      <a:fillRect/>
                    </a:stretch>
                  </pic:blipFill>
                  <pic:spPr bwMode="auto">
                    <a:xfrm>
                      <a:off x="0" y="0"/>
                      <a:ext cx="5200650" cy="1356360"/>
                    </a:xfrm>
                    <a:prstGeom prst="rect">
                      <a:avLst/>
                    </a:prstGeom>
                  </pic:spPr>
                </pic:pic>
              </a:graphicData>
            </a:graphic>
          </wp:inline>
        </w:drawing>
      </w:r>
    </w:p>
    <w:p>
      <w:pPr>
        <w:pStyle w:val="Normal"/>
        <w:spacing w:lineRule="auto" w:line="240" w:before="120" w:after="240"/>
        <w:jc w:val="center"/>
        <w:rPr>
          <w:rFonts w:cs="Arial"/>
          <w:sz w:val="20"/>
          <w:szCs w:val="20"/>
        </w:rPr>
      </w:pPr>
      <w:r>
        <w:rPr>
          <w:rFonts w:cs="Arial"/>
          <w:sz w:val="20"/>
          <w:szCs w:val="20"/>
        </w:rPr>
        <w:t>FIG. 2: Diagrama de blocos dos componentes principais do receptor de pseudo-correlação BINGO.</w:t>
      </w:r>
    </w:p>
    <w:p>
      <w:pPr>
        <w:pStyle w:val="Normal"/>
        <w:spacing w:lineRule="auto" w:line="240" w:before="120" w:after="240"/>
        <w:jc w:val="center"/>
        <w:rPr>
          <w:rFonts w:cs="Arial"/>
          <w:sz w:val="20"/>
          <w:szCs w:val="20"/>
        </w:rPr>
      </w:pPr>
      <w:r>
        <w:rPr>
          <w:rFonts w:cs="Arial"/>
          <w:sz w:val="20"/>
          <w:szCs w:val="20"/>
        </w:rPr>
      </w:r>
    </w:p>
    <w:tbl>
      <w:tblPr>
        <w:tblStyle w:val="TableGrid"/>
        <w:tblW w:w="5782" w:type="dxa"/>
        <w:jc w:val="center"/>
        <w:tblInd w:w="0" w:type="dxa"/>
        <w:tblCellMar>
          <w:top w:w="0" w:type="dxa"/>
          <w:left w:w="108" w:type="dxa"/>
          <w:bottom w:w="0" w:type="dxa"/>
          <w:right w:w="108" w:type="dxa"/>
        </w:tblCellMar>
        <w:tblLook w:val="0480" w:noVBand="1" w:noHBand="0" w:lastColumn="0" w:firstColumn="1" w:lastRow="0" w:firstRow="0"/>
      </w:tblPr>
      <w:tblGrid>
        <w:gridCol w:w="3907"/>
        <w:gridCol w:w="1874"/>
      </w:tblGrid>
      <w:tr>
        <w:trPr/>
        <w:tc>
          <w:tcPr>
            <w:tcW w:w="3907"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Temperatura do sistema</w:t>
            </w:r>
          </w:p>
        </w:tc>
        <w:tc>
          <w:tcPr>
            <w:tcW w:w="187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35K</w:t>
            </w:r>
          </w:p>
        </w:tc>
      </w:tr>
      <w:tr>
        <w:trPr/>
        <w:tc>
          <w:tcPr>
            <w:tcW w:w="3907"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Número de cornetas</w:t>
            </w:r>
          </w:p>
        </w:tc>
        <w:tc>
          <w:tcPr>
            <w:tcW w:w="187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50</w:t>
            </w:r>
          </w:p>
        </w:tc>
      </w:tr>
      <w:tr>
        <w:trPr/>
        <w:tc>
          <w:tcPr>
            <w:tcW w:w="3907"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Faixa de frequência</w:t>
            </w:r>
          </w:p>
        </w:tc>
        <w:tc>
          <w:tcPr>
            <w:tcW w:w="1874" w:type="dxa"/>
            <w:tcBorders/>
            <w:shd w:fill="auto" w:val="clear"/>
            <w:tcMar>
              <w:left w:w="108" w:type="dxa"/>
            </w:tcMar>
          </w:tcPr>
          <w:p>
            <w:pPr>
              <w:pStyle w:val="Normal"/>
              <w:spacing w:lineRule="auto" w:line="276" w:before="0" w:after="0"/>
              <w:jc w:val="both"/>
              <w:rPr>
                <w:rFonts w:cs="Arial"/>
                <w:sz w:val="20"/>
                <w:szCs w:val="20"/>
              </w:rPr>
            </w:pPr>
            <w:bookmarkStart w:id="0" w:name="__DdeLink__811_667933006"/>
            <w:bookmarkEnd w:id="0"/>
            <w:r>
              <w:rPr>
                <w:rFonts w:cs="Arial"/>
                <w:sz w:val="20"/>
                <w:szCs w:val="20"/>
              </w:rPr>
              <w:t>0.96 – 1.260 MHz</w:t>
            </w:r>
          </w:p>
        </w:tc>
      </w:tr>
      <w:tr>
        <w:trPr/>
        <w:tc>
          <w:tcPr>
            <w:tcW w:w="3907"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Largura do canal</w:t>
            </w:r>
          </w:p>
        </w:tc>
        <w:tc>
          <w:tcPr>
            <w:tcW w:w="187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&lt; 1 MHz</w:t>
            </w:r>
          </w:p>
        </w:tc>
      </w:tr>
      <w:tr>
        <w:trPr/>
        <w:tc>
          <w:tcPr>
            <w:tcW w:w="3907"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Frequência de joelho (“knee freq.”)</w:t>
            </w:r>
          </w:p>
        </w:tc>
        <w:tc>
          <w:tcPr>
            <w:tcW w:w="187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~1 mHz</w:t>
            </w:r>
          </w:p>
        </w:tc>
      </w:tr>
    </w:tbl>
    <w:p>
      <w:pPr>
        <w:pStyle w:val="Normal"/>
        <w:spacing w:before="120" w:after="240"/>
        <w:jc w:val="center"/>
        <w:rPr>
          <w:rFonts w:cs="Arial"/>
        </w:rPr>
      </w:pPr>
      <w:r>
        <w:rPr>
          <w:rFonts w:cs="Arial"/>
          <w:sz w:val="20"/>
          <w:szCs w:val="20"/>
        </w:rPr>
        <w:t>TABELA 1: Características dos receptor</w:t>
      </w:r>
      <w:r>
        <w:rPr>
          <w:rFonts w:cs="Arial"/>
        </w:rPr>
        <w:t>es.</w:t>
      </w:r>
    </w:p>
    <w:p>
      <w:pPr>
        <w:pStyle w:val="Normal"/>
        <w:spacing w:before="120" w:after="240"/>
        <w:jc w:val="center"/>
        <w:rPr>
          <w:rFonts w:cs="Arial"/>
        </w:rPr>
      </w:pPr>
      <w:r>
        <w:rPr>
          <w:rFonts w:cs="Arial"/>
        </w:rPr>
      </w:r>
    </w:p>
    <w:p>
      <w:pPr>
        <w:pStyle w:val="Normal"/>
        <w:spacing w:lineRule="auto" w:line="360" w:before="120" w:after="240"/>
        <w:jc w:val="both"/>
        <w:rPr>
          <w:rFonts w:ascii="Arial" w:hAnsi="Arial" w:cs="Arial"/>
          <w:b/>
          <w:b/>
          <w:sz w:val="24"/>
          <w:szCs w:val="24"/>
        </w:rPr>
      </w:pPr>
      <w:r>
        <w:rPr>
          <w:rFonts w:cs="Arial" w:ascii="Arial" w:hAnsi="Arial"/>
          <w:b/>
          <w:sz w:val="24"/>
          <w:szCs w:val="24"/>
        </w:rPr>
        <w:t xml:space="preserve">2.2 Arranjo focal </w:t>
      </w:r>
    </w:p>
    <w:p>
      <w:pPr>
        <w:pStyle w:val="Normal"/>
        <w:spacing w:before="120" w:after="240"/>
        <w:jc w:val="both"/>
        <w:rPr>
          <w:rFonts w:ascii="Arial" w:hAnsi="Arial" w:cs="Arial"/>
          <w:sz w:val="24"/>
          <w:szCs w:val="24"/>
        </w:rPr>
      </w:pPr>
      <w:r>
        <w:rPr>
          <w:rFonts w:cs="Arial"/>
        </w:rPr>
        <w:t xml:space="preserve">O projeto atual contempla um plano focal de 16m x 15m, com cornetas de 1,8 m de diâmetro e 4,8 m de comprimento. Uma empresa em S. José dos Campos fabricará as cornetas e um protótipo já encontra-se em desenvolvimento, devendo ser entregue para testes no início de setembro de 2017. A forma do feixe e os padrões de polarização são mostrados na Figura 3. Os parâmetros utilizados nas simulações do feixe encontram-se listados na Tabela 2. </w:t>
      </w:r>
    </w:p>
    <w:p>
      <w:pPr>
        <w:pStyle w:val="Normal"/>
        <w:spacing w:lineRule="auto" w:line="360" w:before="120" w:after="240"/>
        <w:jc w:val="center"/>
        <w:rPr>
          <w:rFonts w:ascii="Arial" w:hAnsi="Arial" w:cs="Arial"/>
          <w:sz w:val="24"/>
          <w:szCs w:val="24"/>
        </w:rPr>
      </w:pPr>
      <w:r>
        <w:rPr/>
        <w:drawing>
          <wp:inline distT="0" distB="0" distL="0" distR="0">
            <wp:extent cx="3437890" cy="2242820"/>
            <wp:effectExtent l="0" t="0" r="0" b="0"/>
            <wp:docPr id="5"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
                    <pic:cNvPicPr>
                      <a:picLocks noChangeAspect="1" noChangeArrowheads="1"/>
                    </pic:cNvPicPr>
                  </pic:nvPicPr>
                  <pic:blipFill>
                    <a:blip r:embed="rId6"/>
                    <a:stretch>
                      <a:fillRect/>
                    </a:stretch>
                  </pic:blipFill>
                  <pic:spPr bwMode="auto">
                    <a:xfrm>
                      <a:off x="0" y="0"/>
                      <a:ext cx="3437890" cy="2242820"/>
                    </a:xfrm>
                    <a:prstGeom prst="rect">
                      <a:avLst/>
                    </a:prstGeom>
                  </pic:spPr>
                </pic:pic>
              </a:graphicData>
            </a:graphic>
          </wp:inline>
        </w:drawing>
      </w:r>
    </w:p>
    <w:p>
      <w:pPr>
        <w:pStyle w:val="Normal"/>
        <w:spacing w:before="0" w:after="0"/>
        <w:jc w:val="center"/>
        <w:rPr>
          <w:rFonts w:cs="Arial"/>
          <w:sz w:val="20"/>
          <w:szCs w:val="20"/>
        </w:rPr>
      </w:pPr>
      <w:r>
        <w:rPr>
          <w:rFonts w:cs="Arial"/>
          <w:sz w:val="20"/>
          <w:szCs w:val="20"/>
        </w:rPr>
        <w:t>FIG. 3: Simulação do feixe para uma parábola de 40 m de diâmetro.</w:t>
      </w:r>
    </w:p>
    <w:p>
      <w:pPr>
        <w:pStyle w:val="Normal"/>
        <w:spacing w:before="0" w:after="0"/>
        <w:jc w:val="center"/>
        <w:rPr>
          <w:rFonts w:cs="Arial"/>
          <w:sz w:val="20"/>
          <w:szCs w:val="20"/>
        </w:rPr>
      </w:pPr>
      <w:r>
        <w:rPr>
          <w:rFonts w:cs="Arial"/>
          <w:sz w:val="20"/>
          <w:szCs w:val="20"/>
        </w:rPr>
      </w:r>
    </w:p>
    <w:tbl>
      <w:tblPr>
        <w:tblStyle w:val="TableGrid"/>
        <w:tblW w:w="7512" w:type="dxa"/>
        <w:jc w:val="left"/>
        <w:tblInd w:w="1101" w:type="dxa"/>
        <w:tblCellMar>
          <w:top w:w="0" w:type="dxa"/>
          <w:left w:w="108" w:type="dxa"/>
          <w:bottom w:w="0" w:type="dxa"/>
          <w:right w:w="108" w:type="dxa"/>
        </w:tblCellMar>
        <w:tblLook w:val="04a0" w:noVBand="1" w:noHBand="0" w:lastColumn="0" w:firstColumn="1" w:lastRow="0" w:firstRow="1"/>
      </w:tblPr>
      <w:tblGrid>
        <w:gridCol w:w="4960"/>
        <w:gridCol w:w="2551"/>
      </w:tblGrid>
      <w:tr>
        <w:trPr/>
        <w:tc>
          <w:tcPr>
            <w:tcW w:w="4960"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 xml:space="preserve">Resolução angular </w:t>
            </w:r>
          </w:p>
        </w:tc>
        <w:tc>
          <w:tcPr>
            <w:tcW w:w="2551"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40’ @ 1,1 GHz</w:t>
            </w:r>
          </w:p>
        </w:tc>
      </w:tr>
      <w:tr>
        <w:trPr/>
        <w:tc>
          <w:tcPr>
            <w:tcW w:w="4960"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Um campo de visão na direção x de 10 graus;</w:t>
            </w:r>
          </w:p>
        </w:tc>
        <w:tc>
          <w:tcPr>
            <w:tcW w:w="2551"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10 graus (direção zenital)</w:t>
            </w:r>
          </w:p>
        </w:tc>
      </w:tr>
      <w:tr>
        <w:trPr/>
        <w:tc>
          <w:tcPr>
            <w:tcW w:w="4960"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Perda de ganho nas bordas (versus pixel central)</w:t>
            </w:r>
          </w:p>
        </w:tc>
        <w:tc>
          <w:tcPr>
            <w:tcW w:w="2551"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&lt;1dB</w:t>
            </w:r>
          </w:p>
        </w:tc>
      </w:tr>
      <w:tr>
        <w:trPr/>
        <w:tc>
          <w:tcPr>
            <w:tcW w:w="4960"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 xml:space="preserve">Elipticidade do feixe </w:t>
            </w:r>
          </w:p>
        </w:tc>
        <w:tc>
          <w:tcPr>
            <w:tcW w:w="2551"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&lt;0,1</w:t>
            </w:r>
          </w:p>
        </w:tc>
      </w:tr>
      <w:tr>
        <w:trPr/>
        <w:tc>
          <w:tcPr>
            <w:tcW w:w="4960"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 xml:space="preserve">Polarização Cruzada </w:t>
            </w:r>
          </w:p>
        </w:tc>
        <w:tc>
          <w:tcPr>
            <w:tcW w:w="2551"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&lt;-30dB</w:t>
            </w:r>
          </w:p>
        </w:tc>
      </w:tr>
    </w:tbl>
    <w:p>
      <w:pPr>
        <w:pStyle w:val="Normal"/>
        <w:spacing w:before="120" w:after="240"/>
        <w:jc w:val="center"/>
        <w:rPr>
          <w:rFonts w:cs="Arial"/>
          <w:sz w:val="20"/>
          <w:szCs w:val="20"/>
        </w:rPr>
      </w:pPr>
      <w:r>
        <w:rPr>
          <w:rFonts w:cs="Arial"/>
          <w:sz w:val="20"/>
          <w:szCs w:val="20"/>
        </w:rPr>
        <w:t>TABELA 2: Características do arranjo focal.</w:t>
      </w:r>
    </w:p>
    <w:p>
      <w:pPr>
        <w:pStyle w:val="Normal"/>
        <w:spacing w:before="120" w:after="240"/>
        <w:jc w:val="center"/>
        <w:rPr>
          <w:rFonts w:cs="Arial"/>
          <w:sz w:val="20"/>
          <w:szCs w:val="20"/>
        </w:rPr>
      </w:pPr>
      <w:r>
        <w:rPr>
          <w:rFonts w:cs="Arial"/>
          <w:sz w:val="20"/>
          <w:szCs w:val="20"/>
        </w:rPr>
      </w:r>
    </w:p>
    <w:p>
      <w:pPr>
        <w:pStyle w:val="Normal"/>
        <w:spacing w:before="120" w:after="240"/>
        <w:jc w:val="both"/>
        <w:rPr>
          <w:rFonts w:ascii="Arial" w:hAnsi="Arial" w:cs="Arial"/>
          <w:b/>
          <w:b/>
          <w:sz w:val="24"/>
          <w:szCs w:val="24"/>
        </w:rPr>
      </w:pPr>
      <w:r>
        <w:rPr>
          <w:rFonts w:cs="Arial" w:ascii="Arial" w:hAnsi="Arial"/>
          <w:b/>
          <w:sz w:val="24"/>
          <w:szCs w:val="24"/>
        </w:rPr>
        <w:t xml:space="preserve">2.3 Projeto óptico </w:t>
      </w:r>
    </w:p>
    <w:p>
      <w:pPr>
        <w:pStyle w:val="Normal"/>
        <w:spacing w:before="120" w:after="240"/>
        <w:jc w:val="both"/>
        <w:rPr>
          <w:rFonts w:ascii="Arial" w:hAnsi="Arial" w:cs="Arial"/>
          <w:sz w:val="24"/>
          <w:szCs w:val="24"/>
        </w:rPr>
      </w:pPr>
      <w:r>
        <w:rPr>
          <w:rFonts w:cs="Arial"/>
        </w:rPr>
        <w:t>O BINGO usará 2 espelhos de ~ 40m de diâmetro de abertura, com uma resolução de cerca de 0,5</w:t>
      </w:r>
      <w:r>
        <w:rPr>
          <w:rFonts w:cs="Arial"/>
        </w:rPr>
        <w:t>°</w:t>
      </w:r>
      <w:r>
        <w:rPr>
          <w:rFonts w:cs="Arial"/>
        </w:rPr>
        <w:t>, um campo de visão de ~ 10</w:t>
      </w:r>
      <w:r>
        <w:rPr>
          <w:rFonts w:cs="Arial"/>
        </w:rPr>
        <w:t>° (Figura 4)</w:t>
      </w:r>
      <w:r>
        <w:rPr>
          <w:rFonts w:cs="Arial"/>
        </w:rPr>
        <w:t>. A estrutura deverá ser vazada, do tipo “wire-mesh”. As simulações do padrão de feixes assumem componentes perfeitos e cornetas Gaussianas. Os resultados estão resumidos na Tabela 3.</w:t>
      </w:r>
    </w:p>
    <w:tbl>
      <w:tblPr>
        <w:tblStyle w:val="TableGrid"/>
        <w:tblW w:w="6104" w:type="dxa"/>
        <w:jc w:val="center"/>
        <w:tblInd w:w="0" w:type="dxa"/>
        <w:tblCellMar>
          <w:top w:w="0" w:type="dxa"/>
          <w:left w:w="108" w:type="dxa"/>
          <w:bottom w:w="0" w:type="dxa"/>
          <w:right w:w="108" w:type="dxa"/>
        </w:tblCellMar>
        <w:tblLook w:val="04a0" w:noVBand="1" w:noHBand="0" w:lastColumn="0" w:firstColumn="1" w:lastRow="0" w:firstRow="1"/>
      </w:tblPr>
      <w:tblGrid>
        <w:gridCol w:w="2284"/>
        <w:gridCol w:w="1335"/>
        <w:gridCol w:w="1211"/>
        <w:gridCol w:w="1273"/>
      </w:tblGrid>
      <w:tr>
        <w:trPr/>
        <w:tc>
          <w:tcPr>
            <w:tcW w:w="228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Posição</w:t>
            </w:r>
          </w:p>
        </w:tc>
        <w:tc>
          <w:tcPr>
            <w:tcW w:w="1335"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r</m:t>
              </m:r>
            </m:oMath>
            <w:r>
              <w:rPr>
                <w:rFonts w:cs="Arial"/>
                <w:sz w:val="20"/>
                <w:szCs w:val="20"/>
              </w:rPr>
              <w:t xml:space="preserve"> </w:t>
            </w:r>
            <w:r>
              <w:rPr>
                <w:rFonts w:cs="Arial"/>
                <w:sz w:val="20"/>
                <w:szCs w:val="20"/>
              </w:rPr>
              <w:t xml:space="preserve">= </w:t>
            </w:r>
            <w:r>
              <w:rPr>
                <w:rFonts w:cs="Arial"/>
                <w:sz w:val="20"/>
                <w:szCs w:val="20"/>
              </w:rPr>
            </w:r>
            <m:oMath xmlns:m="http://schemas.openxmlformats.org/officeDocument/2006/math">
              <m:r>
                <w:rPr>
                  <w:rFonts w:ascii="Cambria Math" w:hAnsi="Cambria Math"/>
                </w:rPr>
                <m:t xml:space="preserve">0</m:t>
              </m:r>
              <m:r>
                <w:rPr>
                  <w:rFonts w:ascii="Cambria Math" w:hAnsi="Cambria Math"/>
                </w:rPr>
                <m:t xml:space="preserve">m</m:t>
              </m:r>
            </m:oMath>
          </w:p>
        </w:tc>
        <w:tc>
          <w:tcPr>
            <w:tcW w:w="1211"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6</m:t>
              </m:r>
              <m:r>
                <w:rPr>
                  <w:rFonts w:ascii="Cambria Math" w:hAnsi="Cambria Math"/>
                </w:rPr>
                <m:t xml:space="preserve">m</m:t>
              </m:r>
            </m:oMath>
          </w:p>
        </w:tc>
        <w:tc>
          <w:tcPr>
            <w:tcW w:w="1273"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m:t>
              </m:r>
            </m:oMath>
          </w:p>
        </w:tc>
      </w:tr>
      <w:tr>
        <w:trPr/>
        <w:tc>
          <w:tcPr>
            <w:tcW w:w="228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Ganho</w:t>
            </w:r>
          </w:p>
        </w:tc>
        <w:tc>
          <w:tcPr>
            <w:tcW w:w="1335"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51.68</m:t>
              </m:r>
              <m:r>
                <w:rPr>
                  <w:rFonts w:ascii="Cambria Math" w:hAnsi="Cambria Math"/>
                </w:rPr>
                <m:t xml:space="preserve">dB</m:t>
              </m:r>
            </m:oMath>
          </w:p>
        </w:tc>
        <w:tc>
          <w:tcPr>
            <w:tcW w:w="1211"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51.45</m:t>
              </m:r>
              <m:r>
                <w:rPr>
                  <w:rFonts w:ascii="Cambria Math" w:hAnsi="Cambria Math"/>
                </w:rPr>
                <m:t xml:space="preserve">dB</m:t>
              </m:r>
            </m:oMath>
          </w:p>
        </w:tc>
        <w:tc>
          <w:tcPr>
            <w:tcW w:w="1273"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51.22</m:t>
              </m:r>
              <m:r>
                <w:rPr>
                  <w:rFonts w:ascii="Cambria Math" w:hAnsi="Cambria Math"/>
                </w:rPr>
                <m:t xml:space="preserve">dB</m:t>
              </m:r>
            </m:oMath>
          </w:p>
        </w:tc>
      </w:tr>
      <w:tr>
        <w:trPr/>
        <w:tc>
          <w:tcPr>
            <w:tcW w:w="228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Cross-pol</w:t>
            </w:r>
          </w:p>
        </w:tc>
        <w:tc>
          <w:tcPr>
            <w:tcW w:w="1335"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m:t>
              </m:r>
              <m:r>
                <w:rPr>
                  <w:rFonts w:ascii="Cambria Math" w:hAnsi="Cambria Math"/>
                </w:rPr>
                <m:t xml:space="preserve">60</m:t>
              </m:r>
            </m:oMath>
            <w:r>
              <w:rPr>
                <w:rFonts w:cs="Arial"/>
                <w:sz w:val="20"/>
                <w:szCs w:val="20"/>
              </w:rPr>
              <w:t>dB</w:t>
            </w:r>
          </w:p>
        </w:tc>
        <w:tc>
          <w:tcPr>
            <w:tcW w:w="1211"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m:t>
              </m:r>
              <m:r>
                <w:rPr>
                  <w:rFonts w:ascii="Cambria Math" w:hAnsi="Cambria Math"/>
                </w:rPr>
                <m:t xml:space="preserve">43</m:t>
              </m:r>
            </m:oMath>
            <w:r>
              <w:rPr>
                <w:rFonts w:cs="Arial"/>
                <w:sz w:val="20"/>
                <w:szCs w:val="20"/>
              </w:rPr>
              <w:t>dB</w:t>
            </w:r>
          </w:p>
        </w:tc>
        <w:tc>
          <w:tcPr>
            <w:tcW w:w="1273"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m:t>
              </m:r>
              <m:r>
                <w:rPr>
                  <w:rFonts w:ascii="Cambria Math" w:hAnsi="Cambria Math"/>
                </w:rPr>
                <m:t xml:space="preserve">41</m:t>
              </m:r>
            </m:oMath>
            <w:r>
              <w:rPr>
                <w:rFonts w:cs="Arial"/>
                <w:sz w:val="20"/>
                <w:szCs w:val="20"/>
              </w:rPr>
              <w:t>dB</w:t>
            </w:r>
          </w:p>
        </w:tc>
      </w:tr>
      <w:tr>
        <w:trPr/>
        <w:tc>
          <w:tcPr>
            <w:tcW w:w="228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Elipticidade</w:t>
            </w:r>
          </w:p>
        </w:tc>
        <w:tc>
          <w:tcPr>
            <w:tcW w:w="1335"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0.7</m:t>
              </m:r>
              <m:r>
                <m:rPr>
                  <m:lit/>
                  <m:nor/>
                </m:rPr>
                <w:rPr>
                  <w:rFonts w:ascii="Cambria Math" w:hAnsi="Cambria Math"/>
                </w:rPr>
                <m:t xml:space="preserve"/>
              </m:r>
            </m:oMath>
          </w:p>
        </w:tc>
        <w:tc>
          <w:tcPr>
            <w:tcW w:w="1211"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0.4</m:t>
              </m:r>
              <m:r>
                <m:rPr>
                  <m:lit/>
                  <m:nor/>
                </m:rPr>
                <w:rPr>
                  <w:rFonts w:ascii="Cambria Math" w:hAnsi="Cambria Math"/>
                </w:rPr>
                <m:t xml:space="preserve"/>
              </m:r>
            </m:oMath>
          </w:p>
        </w:tc>
        <w:tc>
          <w:tcPr>
            <w:tcW w:w="1273"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10</m:t>
              </m:r>
              <m:r>
                <m:rPr>
                  <m:lit/>
                  <m:nor/>
                </m:rPr>
                <w:rPr>
                  <w:rFonts w:ascii="Cambria Math" w:hAnsi="Cambria Math"/>
                </w:rPr>
                <m:t xml:space="preserve"/>
              </m:r>
            </m:oMath>
          </w:p>
        </w:tc>
      </w:tr>
      <w:tr>
        <w:trPr/>
        <w:tc>
          <w:tcPr>
            <w:tcW w:w="2284" w:type="dxa"/>
            <w:tcBorders/>
            <w:shd w:fill="auto" w:val="clear"/>
            <w:tcMar>
              <w:left w:w="108" w:type="dxa"/>
            </w:tcMar>
          </w:tcPr>
          <w:p>
            <w:pPr>
              <w:pStyle w:val="Normal"/>
              <w:spacing w:lineRule="auto" w:line="276" w:before="0" w:after="0"/>
              <w:jc w:val="both"/>
              <w:rPr>
                <w:rFonts w:cs="Arial"/>
                <w:sz w:val="20"/>
                <w:szCs w:val="20"/>
              </w:rPr>
            </w:pPr>
            <w:r>
              <w:rPr>
                <w:rFonts w:cs="Arial"/>
                <w:sz w:val="20"/>
                <w:szCs w:val="20"/>
              </w:rPr>
              <w:t>Posição no céu</w:t>
            </w:r>
          </w:p>
        </w:tc>
        <w:tc>
          <w:tcPr>
            <w:tcW w:w="1335"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0</m:t>
              </m:r>
            </m:oMath>
          </w:p>
        </w:tc>
        <w:tc>
          <w:tcPr>
            <w:tcW w:w="1211"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m:t>
              </m:r>
              <m:r>
                <w:rPr>
                  <w:rFonts w:ascii="Cambria Math" w:hAnsi="Cambria Math"/>
                </w:rPr>
                <m:t xml:space="preserve">5</m:t>
              </m:r>
              <m:r>
                <w:rPr>
                  <w:rFonts w:ascii="Cambria Math" w:hAnsi="Cambria Math"/>
                </w:rPr>
                <m:t xml:space="preserve">deg</m:t>
              </m:r>
            </m:oMath>
          </w:p>
        </w:tc>
        <w:tc>
          <w:tcPr>
            <w:tcW w:w="1273" w:type="dxa"/>
            <w:tcBorders/>
            <w:shd w:fill="auto" w:val="clear"/>
            <w:tcMar>
              <w:left w:w="108" w:type="dxa"/>
            </w:tcMar>
          </w:tcPr>
          <w:p>
            <w:pPr>
              <w:pStyle w:val="Normal"/>
              <w:spacing w:lineRule="auto" w:line="276" w:before="0" w:after="0"/>
              <w:jc w:val="both"/>
              <w:rPr>
                <w:rFonts w:cs="Arial"/>
                <w:sz w:val="20"/>
                <w:szCs w:val="20"/>
              </w:rPr>
            </w:pPr>
            <w:r>
              <w:rPr/>
            </w:r>
            <m:oMath xmlns:m="http://schemas.openxmlformats.org/officeDocument/2006/math">
              <m:r>
                <w:rPr>
                  <w:rFonts w:ascii="Cambria Math" w:hAnsi="Cambria Math"/>
                </w:rPr>
                <m:t xml:space="preserve">6.3</m:t>
              </m:r>
              <m:r>
                <w:rPr>
                  <w:rFonts w:ascii="Cambria Math" w:hAnsi="Cambria Math"/>
                </w:rPr>
                <m:t xml:space="preserve">deg</m:t>
              </m:r>
            </m:oMath>
          </w:p>
        </w:tc>
      </w:tr>
    </w:tbl>
    <w:p>
      <w:pPr>
        <w:pStyle w:val="Normal"/>
        <w:spacing w:lineRule="auto" w:line="360" w:before="120" w:after="240"/>
        <w:jc w:val="center"/>
        <w:rPr>
          <w:rFonts w:cs="Arial"/>
          <w:sz w:val="20"/>
          <w:szCs w:val="20"/>
        </w:rPr>
      </w:pPr>
      <w:r>
        <w:rPr>
          <w:rFonts w:cs="Arial"/>
          <w:sz w:val="20"/>
          <w:szCs w:val="20"/>
        </w:rPr>
        <w:t>Tabela 3: Resultados da simulação do feixe para o projeto de espelho dual.</w:t>
      </w:r>
    </w:p>
    <w:p>
      <w:pPr>
        <w:pStyle w:val="Normal"/>
        <w:spacing w:lineRule="auto" w:line="360" w:before="120" w:after="240"/>
        <w:jc w:val="center"/>
        <w:rPr>
          <w:rFonts w:ascii="Arial" w:hAnsi="Arial" w:cs="Arial"/>
          <w:sz w:val="24"/>
          <w:szCs w:val="24"/>
        </w:rPr>
      </w:pPr>
      <w:r>
        <w:rPr/>
        <w:drawing>
          <wp:inline distT="0" distB="0" distL="0" distR="0">
            <wp:extent cx="3963035" cy="297243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3963035" cy="2972435"/>
                    </a:xfrm>
                    <a:prstGeom prst="rect">
                      <a:avLst/>
                    </a:prstGeom>
                  </pic:spPr>
                </pic:pic>
              </a:graphicData>
            </a:graphic>
          </wp:inline>
        </w:drawing>
      </w:r>
    </w:p>
    <w:p>
      <w:pPr>
        <w:pStyle w:val="Normal"/>
        <w:spacing w:lineRule="auto" w:line="360" w:before="120" w:after="240"/>
        <w:jc w:val="center"/>
        <w:rPr>
          <w:rFonts w:ascii="Arial" w:hAnsi="Arial" w:cs="Arial"/>
          <w:sz w:val="24"/>
          <w:szCs w:val="24"/>
        </w:rPr>
      </w:pPr>
      <w:r>
        <w:rPr/>
        <w:drawing>
          <wp:inline distT="0" distB="0" distL="0" distR="8255">
            <wp:extent cx="3548380" cy="2551430"/>
            <wp:effectExtent l="0" t="0" r="0" b="0"/>
            <wp:docPr id="7"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7" descr=""/>
                    <pic:cNvPicPr>
                      <a:picLocks noChangeAspect="1" noChangeArrowheads="1"/>
                    </pic:cNvPicPr>
                  </pic:nvPicPr>
                  <pic:blipFill>
                    <a:blip r:embed="rId8"/>
                    <a:stretch>
                      <a:fillRect/>
                    </a:stretch>
                  </pic:blipFill>
                  <pic:spPr bwMode="auto">
                    <a:xfrm>
                      <a:off x="0" y="0"/>
                      <a:ext cx="3548380" cy="2551430"/>
                    </a:xfrm>
                    <a:prstGeom prst="rect">
                      <a:avLst/>
                    </a:prstGeom>
                  </pic:spPr>
                </pic:pic>
              </a:graphicData>
            </a:graphic>
          </wp:inline>
        </w:drawing>
      </w:r>
    </w:p>
    <w:p>
      <w:pPr>
        <w:pStyle w:val="Normal"/>
        <w:spacing w:before="120" w:after="240"/>
        <w:jc w:val="center"/>
        <w:rPr>
          <w:rFonts w:cs="Arial"/>
        </w:rPr>
      </w:pPr>
      <w:r>
        <w:rPr>
          <w:rFonts w:cs="Arial"/>
          <w:sz w:val="20"/>
          <w:szCs w:val="20"/>
        </w:rPr>
        <w:t xml:space="preserve">FIG. 4: Duas configurações possíveis para o projeto óptico do BINGO. Os espelhos serão feitos na indústria nacional. Acima: Topografia plana, com pequenas elevações; Abaixo: Topografia considerando regiões montanhosas ou com grandes desníveis. </w:t>
      </w:r>
    </w:p>
    <w:p>
      <w:pPr>
        <w:pStyle w:val="Normal"/>
        <w:spacing w:before="120" w:after="240"/>
        <w:jc w:val="both"/>
        <w:rPr>
          <w:rFonts w:cs="Arial"/>
        </w:rPr>
      </w:pPr>
      <w:r>
        <w:rPr>
          <w:rFonts w:cs="Arial"/>
        </w:rPr>
      </w:r>
    </w:p>
    <w:p>
      <w:pPr>
        <w:pStyle w:val="Normal"/>
        <w:spacing w:before="120" w:after="240"/>
        <w:jc w:val="both"/>
        <w:rPr>
          <w:rFonts w:cs="Arial"/>
          <w:b/>
          <w:b/>
        </w:rPr>
      </w:pPr>
      <w:r>
        <w:rPr>
          <w:rFonts w:cs="Arial"/>
          <w:b/>
        </w:rPr>
        <w:t>3. CUSTOS DO PROJETO</w:t>
      </w:r>
    </w:p>
    <w:p>
      <w:pPr>
        <w:pStyle w:val="Normal"/>
        <w:spacing w:before="120" w:after="240"/>
        <w:jc w:val="both"/>
        <w:rPr>
          <w:rFonts w:cs="Arial"/>
        </w:rPr>
      </w:pPr>
      <w:r>
        <w:rPr>
          <w:rFonts w:cs="Arial"/>
        </w:rPr>
        <w:t xml:space="preserve">O BINGO é um telescópio de custo relativamente baixo, comparado a outros projetos na área de astronomia, e produzirá uma ciência de grande impacto. Grande parte dos componentes e subsistemas do projeto pode ser construída ou comprada no Brasil pelos centros de pesquisa e/ou pela indústria brasileira. Essa política poderá </w:t>
      </w:r>
      <w:r>
        <w:rPr>
          <w:rFonts w:cs="Arial"/>
          <w:b/>
        </w:rPr>
        <w:t>qualificar recursos humanos nas áreas de engenharia mecânica, civil e eletrônica, radioastronomia e computação de alto desempenho</w:t>
      </w:r>
      <w:r>
        <w:rPr>
          <w:rFonts w:cs="Arial"/>
        </w:rPr>
        <w:t xml:space="preserve">. Isso irá qualificar muitos cientistas e técnicos e ajudar a indústria brasileira a se desenvolver. Este projeto pretende realizar a primeira medida de BAOs na faixa de rádio, cerca de 8 anos antes do grande projeto de radio astronomia no mundo atual: o SKA, servindo de “pathfinder” para o mesmo. Isso, de fato, já ocorre, uma vez que membros do BINGO também fazem do time do SKA, cujo escritório encontra-se no Observatório de Jodrell Bank, na Universidade de Manchester. </w:t>
      </w:r>
    </w:p>
    <w:p>
      <w:pPr>
        <w:pStyle w:val="Normal"/>
        <w:spacing w:before="120" w:after="240"/>
        <w:jc w:val="both"/>
        <w:rPr>
          <w:rFonts w:cs="Arial"/>
        </w:rPr>
      </w:pPr>
      <w:r>
        <w:rPr>
          <w:rFonts w:cs="Arial"/>
        </w:rPr>
        <w:t xml:space="preserve">O financiamento para o BINGO pode ser dividido em três áreas principais: os receptores (incluindo backends digitais) e alimentadores; o telescópio em si (cornetas e parábolas);  infraestrutura e mão de obra técnica, incluindo gerenciamento de projetos. A FAPESP concedeu financiamento no valor de R$ 12.277.000,00, que cobrirá o custo de construção  das cornetas, receptores e várias outras despesas referentes à execução do projeto, incluindo custo de importação de componentes. A estimativa de custo total do BINGO encontra-se na Tabela 4. O Brasil é responsável pela construção das cornetas, receptores, parábolas e projeto executivo da estrutura do telescópio. </w:t>
      </w:r>
    </w:p>
    <w:tbl>
      <w:tblPr>
        <w:tblW w:w="6007" w:type="dxa"/>
        <w:jc w:val="center"/>
        <w:tblInd w:w="0" w:type="dxa"/>
        <w:tblBorders>
          <w:top w:val="single" w:sz="8" w:space="0" w:color="00000A"/>
          <w:left w:val="single" w:sz="8" w:space="0" w:color="00000A"/>
          <w:bottom w:val="single" w:sz="8" w:space="0" w:color="00000A"/>
          <w:right w:val="single" w:sz="8" w:space="0" w:color="000001"/>
          <w:insideH w:val="single" w:sz="8" w:space="0" w:color="00000A"/>
          <w:insideV w:val="single" w:sz="8" w:space="0" w:color="000001"/>
        </w:tblBorders>
        <w:tblCellMar>
          <w:top w:w="0" w:type="dxa"/>
          <w:left w:w="98" w:type="dxa"/>
          <w:bottom w:w="0" w:type="dxa"/>
          <w:right w:w="108" w:type="dxa"/>
        </w:tblCellMar>
        <w:tblLook w:val="04a0" w:noVBand="1" w:noHBand="0" w:lastColumn="0" w:firstColumn="1" w:lastRow="0" w:firstRow="1"/>
      </w:tblPr>
      <w:tblGrid>
        <w:gridCol w:w="370"/>
        <w:gridCol w:w="3487"/>
        <w:gridCol w:w="2150"/>
      </w:tblGrid>
      <w:tr>
        <w:trPr>
          <w:trHeight w:val="380" w:hRule="atLeast"/>
        </w:trPr>
        <w:tc>
          <w:tcPr>
            <w:tcW w:w="6007" w:type="dxa"/>
            <w:gridSpan w:val="3"/>
            <w:tcBorders>
              <w:top w:val="single" w:sz="8" w:space="0" w:color="00000A"/>
              <w:left w:val="single" w:sz="8" w:space="0" w:color="00000A"/>
              <w:bottom w:val="single" w:sz="8" w:space="0" w:color="00000A"/>
              <w:right w:val="single" w:sz="8" w:space="0" w:color="000001"/>
              <w:insideH w:val="single" w:sz="8" w:space="0" w:color="00000A"/>
              <w:insideV w:val="single" w:sz="8" w:space="0" w:color="000001"/>
            </w:tcBorders>
            <w:shd w:fill="auto" w:val="clear"/>
            <w:tcMar>
              <w:left w:w="98" w:type="dxa"/>
            </w:tcMar>
          </w:tcPr>
          <w:p>
            <w:pPr>
              <w:pStyle w:val="Normal"/>
              <w:spacing w:lineRule="auto" w:line="240" w:before="0" w:after="0"/>
              <w:jc w:val="center"/>
              <w:rPr>
                <w:rFonts w:eastAsia="Times New Roman" w:cs="Times New Roman"/>
                <w:sz w:val="24"/>
                <w:szCs w:val="24"/>
                <w:lang w:val="en-US"/>
              </w:rPr>
            </w:pPr>
            <w:r>
              <w:rPr>
                <w:rFonts w:eastAsia="Times New Roman" w:cs="Times New Roman"/>
                <w:sz w:val="24"/>
                <w:szCs w:val="24"/>
                <w:lang w:val="en-US"/>
              </w:rPr>
              <w:t>ORÇAMENTO ESTIMADO (MAIO/2017)</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1</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Receptores e componentes secundários</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R$4.494.619,41</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2</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Proj. Executivo</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R$222.231,58</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3</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Cornetas e polarímetros</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R$6.723.642,00</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4</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 xml:space="preserve">Espelhos </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center"/>
              <w:rPr>
                <w:rFonts w:ascii="Calibri" w:hAnsi="Calibri" w:eastAsia="Times New Roman" w:cs="Times New Roman"/>
                <w:sz w:val="20"/>
                <w:szCs w:val="20"/>
                <w:lang w:val="en-US"/>
              </w:rPr>
            </w:pPr>
            <w:r>
              <w:rPr>
                <w:rFonts w:eastAsia="Times New Roman" w:cs="Times New Roman"/>
                <w:sz w:val="20"/>
                <w:szCs w:val="20"/>
                <w:lang w:val="en-US"/>
              </w:rPr>
              <w:t>-</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5</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Transporte</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R$400.000,00</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6</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Construção da estrutura</w:t>
            </w:r>
          </w:p>
        </w:tc>
        <w:tc>
          <w:tcPr>
            <w:tcW w:w="2150" w:type="dxa"/>
            <w:tcBorders>
              <w:left w:val="single" w:sz="4" w:space="0" w:color="00000A"/>
              <w:right w:val="single" w:sz="8"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R$6.000.000,00</w:t>
            </w:r>
          </w:p>
        </w:tc>
      </w:tr>
      <w:tr>
        <w:trPr>
          <w:trHeight w:val="280" w:hRule="atLeast"/>
        </w:trPr>
        <w:tc>
          <w:tcPr>
            <w:tcW w:w="370" w:type="dxa"/>
            <w:tcBorders>
              <w:left w:val="single" w:sz="8" w:space="0" w:color="00000A"/>
            </w:tcBorders>
            <w:shd w:fill="auto" w:val="clear"/>
            <w:tcMar>
              <w:left w:w="98" w:type="dxa"/>
            </w:tcMar>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7</w:t>
            </w:r>
          </w:p>
        </w:tc>
        <w:tc>
          <w:tcPr>
            <w:tcW w:w="3487" w:type="dxa"/>
            <w:tcBorders>
              <w:left w:val="single" w:sz="8" w:space="0" w:color="00000A"/>
            </w:tcBorders>
            <w:shd w:color="auto" w:fill="auto" w:val="clear"/>
            <w:tcMar>
              <w:left w:w="98" w:type="dxa"/>
            </w:tcMar>
            <w:vAlign w:val="bottom"/>
          </w:tcPr>
          <w:p>
            <w:pPr>
              <w:pStyle w:val="Normal"/>
              <w:spacing w:lineRule="auto" w:line="240" w:before="0" w:after="0"/>
              <w:rPr>
                <w:rFonts w:ascii="Calibri" w:hAnsi="Calibri" w:eastAsia="Times New Roman" w:cs="Times New Roman"/>
                <w:sz w:val="20"/>
                <w:szCs w:val="20"/>
                <w:lang w:val="en-US"/>
              </w:rPr>
            </w:pPr>
            <w:r>
              <w:rPr>
                <w:rFonts w:eastAsia="Times New Roman" w:cs="Times New Roman"/>
                <w:sz w:val="20"/>
                <w:szCs w:val="20"/>
                <w:lang w:val="en-US"/>
              </w:rPr>
              <w:t>Operação (mensal)</w:t>
            </w:r>
          </w:p>
        </w:tc>
        <w:tc>
          <w:tcPr>
            <w:tcW w:w="2150" w:type="dxa"/>
            <w:tcBorders>
              <w:left w:val="single" w:sz="4" w:space="0" w:color="00000A"/>
              <w:bottom w:val="single" w:sz="4" w:space="0" w:color="00000A"/>
              <w:right w:val="single" w:sz="8" w:space="0" w:color="00000A"/>
              <w:insideH w:val="single" w:sz="4" w:space="0" w:color="00000A"/>
              <w:insideV w:val="single" w:sz="8"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sz w:val="20"/>
                <w:szCs w:val="20"/>
                <w:lang w:val="en-US"/>
              </w:rPr>
            </w:pPr>
            <w:r>
              <w:rPr>
                <w:rFonts w:eastAsia="Times New Roman" w:cs="Times New Roman"/>
                <w:sz w:val="20"/>
                <w:szCs w:val="20"/>
                <w:lang w:val="en-US"/>
              </w:rPr>
              <w:t>R$10.000,00</w:t>
            </w:r>
          </w:p>
        </w:tc>
      </w:tr>
      <w:tr>
        <w:trPr>
          <w:trHeight w:val="300" w:hRule="atLeast"/>
        </w:trPr>
        <w:tc>
          <w:tcPr>
            <w:tcW w:w="370" w:type="dxa"/>
            <w:tcBorders>
              <w:top w:val="single" w:sz="8" w:space="0" w:color="00000A"/>
              <w:left w:val="single" w:sz="8" w:space="0" w:color="00000A"/>
              <w:bottom w:val="single" w:sz="8" w:space="0" w:color="00000A"/>
              <w:insideH w:val="single" w:sz="8" w:space="0" w:color="00000A"/>
            </w:tcBorders>
            <w:shd w:color="000000" w:fill="DAEEF3" w:val="clear"/>
            <w:tcMar>
              <w:left w:w="98" w:type="dxa"/>
            </w:tcMar>
          </w:tcPr>
          <w:p>
            <w:pPr>
              <w:pStyle w:val="Normal"/>
              <w:spacing w:lineRule="auto" w:line="240" w:before="0" w:after="0"/>
              <w:rPr>
                <w:rFonts w:eastAsia="Times New Roman" w:cs="Times New Roman"/>
                <w:b/>
                <w:b/>
                <w:bCs/>
                <w:sz w:val="20"/>
                <w:szCs w:val="20"/>
                <w:lang w:val="en-US"/>
              </w:rPr>
            </w:pPr>
            <w:r>
              <w:rPr>
                <w:rFonts w:eastAsia="Times New Roman" w:cs="Times New Roman"/>
                <w:b/>
                <w:bCs/>
                <w:sz w:val="20"/>
                <w:szCs w:val="20"/>
                <w:lang w:val="en-US"/>
              </w:rPr>
            </w:r>
          </w:p>
        </w:tc>
        <w:tc>
          <w:tcPr>
            <w:tcW w:w="3487" w:type="dxa"/>
            <w:tcBorders>
              <w:top w:val="single" w:sz="8" w:space="0" w:color="00000A"/>
              <w:left w:val="single" w:sz="8" w:space="0" w:color="00000A"/>
              <w:bottom w:val="single" w:sz="8" w:space="0" w:color="00000A"/>
              <w:insideH w:val="single" w:sz="8" w:space="0" w:color="00000A"/>
            </w:tcBorders>
            <w:shd w:color="000000" w:fill="DAEEF3" w:val="clear"/>
            <w:tcMar>
              <w:left w:w="98" w:type="dxa"/>
            </w:tcMar>
            <w:vAlign w:val="bottom"/>
          </w:tcPr>
          <w:p>
            <w:pPr>
              <w:pStyle w:val="Normal"/>
              <w:spacing w:lineRule="auto" w:line="240" w:before="0" w:after="0"/>
              <w:rPr>
                <w:rFonts w:eastAsia="Times New Roman" w:cs="Times New Roman"/>
                <w:b/>
                <w:b/>
                <w:bCs/>
                <w:sz w:val="20"/>
                <w:szCs w:val="20"/>
                <w:lang w:val="en-US"/>
              </w:rPr>
            </w:pPr>
            <w:r>
              <w:rPr>
                <w:rFonts w:eastAsia="Times New Roman" w:cs="Times New Roman"/>
                <w:b/>
                <w:bCs/>
                <w:sz w:val="20"/>
                <w:szCs w:val="20"/>
                <w:lang w:val="en-US"/>
              </w:rPr>
              <w:t>Total</w:t>
            </w:r>
          </w:p>
        </w:tc>
        <w:tc>
          <w:tcPr>
            <w:tcW w:w="2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DAEEF3" w:val="clear"/>
            <w:tcMar>
              <w:left w:w="103" w:type="dxa"/>
            </w:tcMar>
            <w:vAlign w:val="bottom"/>
          </w:tcPr>
          <w:p>
            <w:pPr>
              <w:pStyle w:val="Normal"/>
              <w:spacing w:lineRule="auto" w:line="240" w:before="0" w:after="0"/>
              <w:jc w:val="center"/>
              <w:rPr>
                <w:rFonts w:eastAsia="Times New Roman" w:cs="Times New Roman"/>
                <w:b/>
                <w:b/>
                <w:bCs/>
                <w:sz w:val="20"/>
                <w:szCs w:val="20"/>
                <w:lang w:val="en-US"/>
              </w:rPr>
            </w:pPr>
            <w:r>
              <w:rPr>
                <w:rFonts w:eastAsia="Times New Roman" w:cs="Times New Roman"/>
                <w:b/>
                <w:bCs/>
                <w:sz w:val="20"/>
                <w:szCs w:val="20"/>
                <w:lang w:val="en-US"/>
              </w:rPr>
              <w:t>R$17.850.492,99</w:t>
            </w:r>
          </w:p>
        </w:tc>
      </w:tr>
    </w:tbl>
    <w:p>
      <w:pPr>
        <w:pStyle w:val="Normal"/>
        <w:spacing w:before="120" w:after="240"/>
        <w:jc w:val="center"/>
        <w:rPr>
          <w:rFonts w:cs="Arial"/>
          <w:sz w:val="20"/>
          <w:szCs w:val="20"/>
        </w:rPr>
      </w:pPr>
      <w:r>
        <w:rPr>
          <w:rFonts w:cs="Arial"/>
          <w:sz w:val="20"/>
          <w:szCs w:val="20"/>
        </w:rPr>
        <w:t>Tabela 4 – Estimativa geral de custos do projeto. A FAPESP é responsável pelos itens de 1, 2, 3 e 5.</w:t>
      </w:r>
    </w:p>
    <w:p>
      <w:pPr>
        <w:pStyle w:val="Normal"/>
        <w:spacing w:before="120" w:after="240"/>
        <w:jc w:val="both"/>
        <w:rPr>
          <w:rFonts w:cs="Arial"/>
        </w:rPr>
      </w:pPr>
      <w:r>
        <w:rPr>
          <w:rFonts w:cs="Arial"/>
        </w:rPr>
      </w:r>
    </w:p>
    <w:p>
      <w:pPr>
        <w:pStyle w:val="Normal"/>
        <w:spacing w:before="120" w:after="240"/>
        <w:jc w:val="both"/>
        <w:rPr>
          <w:rFonts w:cs="Arial"/>
          <w:b/>
          <w:b/>
        </w:rPr>
      </w:pPr>
      <w:r>
        <w:rPr>
          <w:rFonts w:cs="Arial"/>
          <w:b/>
        </w:rPr>
        <w:t xml:space="preserve">5. ORGANIZAÇÃO E PRAZOS DO PROJETO </w:t>
      </w:r>
    </w:p>
    <w:p>
      <w:pPr>
        <w:pStyle w:val="Normal"/>
        <w:spacing w:before="120" w:after="240"/>
        <w:jc w:val="both"/>
        <w:rPr>
          <w:rFonts w:cs="Arial"/>
        </w:rPr>
      </w:pPr>
      <w:r>
        <w:rPr>
          <w:rFonts w:cs="Arial"/>
        </w:rPr>
        <w:t xml:space="preserve">Um projeto como o BINGO requer uma pequena equipe de engenharia de projeto, responsável pela organização e acompanhamento da execução das tarefas. Tal equipe deveria ter, pelo menos, o equivalente a um Cientista de Projeto, Gerente de Projeto e Engenheiro de Projeto. O cientista do projeto pode ser um membro designado da equipe científica existente e as outras duas funções os outros papéis, provavelmente, exigirão a contratação de profissionais em tempo integral. A solução adotada pelo BINGO é ter um cientista de projeto encarregado da construção das cornetas, espelhos e receptores, um gerente de projetos encarregado do acompanhamento das tarefas e um engenheiro de projetos (servidor do INPE) atuando como consultor em tempo parcial. </w:t>
      </w:r>
    </w:p>
    <w:p>
      <w:pPr>
        <w:pStyle w:val="Normal"/>
        <w:spacing w:before="120" w:after="240"/>
        <w:jc w:val="both"/>
        <w:rPr>
          <w:rFonts w:cs="Arial"/>
        </w:rPr>
      </w:pPr>
      <w:r>
        <w:rPr>
          <w:rFonts w:cs="Arial"/>
        </w:rPr>
        <w:t xml:space="preserve">O trabalho de construção pode ser dividido em 3 fases. As fases 1, 2 e 3 envolvem, respectivamente: 1) Construção dos protótipos do receptor e cornetas, escolha do sítio dentre os possíveis sítios já visitados, projetos executivos da estrutura do telescópio e dos espelhos; 2) Construção das 50 cornetas, 50 receptores, da estrutura para receber espelhos e cornetas e preparação do sítio para operação (incluindo o fornecimento de energia elétrica, internet e segurança); 3) início da operação, comissionamento do instrumento, manutenção, armazenamento e disseminação dos dados. A atuação científica dar-se-á, principalmente, na Fase 3. </w:t>
      </w:r>
    </w:p>
    <w:p>
      <w:pPr>
        <w:pStyle w:val="Normal"/>
        <w:spacing w:before="120" w:after="240"/>
        <w:jc w:val="both"/>
        <w:rPr>
          <w:rFonts w:cs="Arial"/>
        </w:rPr>
      </w:pPr>
      <w:r>
        <w:rPr>
          <w:rFonts w:cs="Arial"/>
        </w:rPr>
        <w:t xml:space="preserve">A análise de dados será desenvolvida por todos os grupos alinhados. A maior parte da produção dos componentes, confecção das cornetas, receptores e espelhos, projeto executivo e fabricação da estrutura do telescópio é responsabilidade do Brasil. Brasil e Uruguai conduzirão a construção do telescópio e o Reino Unido e Suíça supervisionarão a construção dos receptores, também feitos no Brasil. </w:t>
      </w:r>
    </w:p>
    <w:p>
      <w:pPr>
        <w:pStyle w:val="Normal"/>
        <w:spacing w:before="120" w:after="240"/>
        <w:jc w:val="both"/>
        <w:rPr>
          <w:rFonts w:cs="Arial"/>
        </w:rPr>
      </w:pPr>
      <w:r>
        <w:rPr>
          <w:rFonts w:cs="Arial"/>
        </w:rPr>
        <w:t xml:space="preserve">A elaboração do software de análise de dados é de responsabilidade do Reino Unido, mas conta com a participação direta de membros brasileiros. A maior parte do financiamento do projeto (cerca de 70%) é brasileira, dando aos membros um a posição de liderança nas principais tomadas de decisão, tanto na parte de engenharia quanto na parte científica. </w:t>
      </w:r>
    </w:p>
    <w:p>
      <w:pPr>
        <w:pStyle w:val="Normal"/>
        <w:spacing w:before="120" w:after="240"/>
        <w:jc w:val="both"/>
        <w:rPr>
          <w:rFonts w:cs="Arial"/>
        </w:rPr>
      </w:pPr>
      <w:r>
        <w:rPr>
          <w:rFonts w:cs="Arial"/>
          <w:b/>
        </w:rPr>
        <w:t>O cronograma atual de trabalho</w:t>
      </w:r>
      <w:r>
        <w:rPr>
          <w:rFonts w:cs="Arial"/>
        </w:rPr>
        <w:t xml:space="preserve"> prevê o encerramento da Fase 1) em dezembro de 2017, o encerramento da Fase 2) no início de 2019 e o início da Fase 3) durante o primeiro semestre de 2019. </w:t>
      </w:r>
    </w:p>
    <w:p>
      <w:pPr>
        <w:pStyle w:val="Normal"/>
        <w:spacing w:before="120" w:after="240"/>
        <w:jc w:val="both"/>
        <w:rPr>
          <w:rFonts w:cs="Arial"/>
        </w:rPr>
      </w:pPr>
      <w:r>
        <w:rPr>
          <w:rFonts w:cs="Arial"/>
        </w:rPr>
      </w:r>
    </w:p>
    <w:p>
      <w:pPr>
        <w:pStyle w:val="Normal"/>
        <w:spacing w:before="120" w:after="240"/>
        <w:jc w:val="both"/>
        <w:rPr>
          <w:rFonts w:cs="Arial"/>
          <w:b/>
          <w:b/>
        </w:rPr>
      </w:pPr>
      <w:r>
        <w:rPr>
          <w:rFonts w:cs="Arial"/>
          <w:b/>
        </w:rPr>
        <w:t>6. INSTITUIÇÕES E CIENTISTAS ENVOLVIDOS</w:t>
      </w:r>
    </w:p>
    <w:p>
      <w:pPr>
        <w:pStyle w:val="ListParagraph"/>
        <w:numPr>
          <w:ilvl w:val="0"/>
          <w:numId w:val="1"/>
        </w:numPr>
        <w:spacing w:before="120" w:after="240"/>
        <w:jc w:val="both"/>
        <w:rPr>
          <w:rFonts w:cs="Arial"/>
        </w:rPr>
      </w:pPr>
      <w:r>
        <w:rPr>
          <w:rFonts w:cs="Arial"/>
        </w:rPr>
        <w:t xml:space="preserve">Brasil </w:t>
      </w:r>
    </w:p>
    <w:p>
      <w:pPr>
        <w:pStyle w:val="ListParagraph"/>
        <w:numPr>
          <w:ilvl w:val="1"/>
          <w:numId w:val="1"/>
        </w:numPr>
        <w:spacing w:before="120" w:after="240"/>
        <w:jc w:val="both"/>
        <w:rPr>
          <w:rFonts w:cs="Arial"/>
        </w:rPr>
      </w:pPr>
      <w:r>
        <w:rPr>
          <w:rFonts w:cs="Arial"/>
        </w:rPr>
        <w:t>Universidade de São Paulo/Instituto de Física – Élcio Abdalla, Luiz Raul Abramo</w:t>
      </w:r>
    </w:p>
    <w:p>
      <w:pPr>
        <w:pStyle w:val="ListParagraph"/>
        <w:numPr>
          <w:ilvl w:val="1"/>
          <w:numId w:val="1"/>
        </w:numPr>
        <w:spacing w:before="120" w:after="240"/>
        <w:jc w:val="both"/>
        <w:rPr>
          <w:rFonts w:cs="Arial"/>
        </w:rPr>
      </w:pPr>
      <w:r>
        <w:rPr>
          <w:rFonts w:cs="Arial"/>
        </w:rPr>
        <w:t>Instituto Nacional de Pesquisas Espaciais/Divisão de Astrofísica – Carlos Alexandre Wuensche, Thyrso Villela</w:t>
      </w:r>
    </w:p>
    <w:p>
      <w:pPr>
        <w:pStyle w:val="ListParagraph"/>
        <w:numPr>
          <w:ilvl w:val="0"/>
          <w:numId w:val="1"/>
        </w:numPr>
        <w:spacing w:before="120" w:after="240"/>
        <w:jc w:val="both"/>
        <w:rPr>
          <w:rFonts w:cs="Arial"/>
        </w:rPr>
      </w:pPr>
      <w:r>
        <w:rPr>
          <w:rFonts w:cs="Arial"/>
        </w:rPr>
        <w:t xml:space="preserve">Uruguai </w:t>
      </w:r>
    </w:p>
    <w:p>
      <w:pPr>
        <w:pStyle w:val="ListParagraph"/>
        <w:numPr>
          <w:ilvl w:val="1"/>
          <w:numId w:val="1"/>
        </w:numPr>
        <w:spacing w:before="120" w:after="240"/>
        <w:jc w:val="both"/>
        <w:rPr>
          <w:rFonts w:cs="Arial"/>
        </w:rPr>
      </w:pPr>
      <w:r>
        <w:rPr>
          <w:rFonts w:cs="Arial"/>
        </w:rPr>
        <w:t>Universidad de la Republica – Gonzalo Tancredi</w:t>
      </w:r>
    </w:p>
    <w:p>
      <w:pPr>
        <w:pStyle w:val="ListParagraph"/>
        <w:numPr>
          <w:ilvl w:val="0"/>
          <w:numId w:val="1"/>
        </w:numPr>
        <w:spacing w:before="120" w:after="240"/>
        <w:jc w:val="both"/>
        <w:rPr>
          <w:rFonts w:cs="Arial"/>
        </w:rPr>
      </w:pPr>
      <w:r>
        <w:rPr>
          <w:rFonts w:cs="Arial"/>
        </w:rPr>
        <w:t>Reino Unido</w:t>
      </w:r>
    </w:p>
    <w:p>
      <w:pPr>
        <w:pStyle w:val="ListParagraph"/>
        <w:numPr>
          <w:ilvl w:val="1"/>
          <w:numId w:val="1"/>
        </w:numPr>
        <w:spacing w:before="120" w:after="240"/>
        <w:jc w:val="both"/>
        <w:rPr>
          <w:rFonts w:cs="Arial"/>
        </w:rPr>
      </w:pPr>
      <w:r>
        <w:rPr>
          <w:rFonts w:cs="Arial"/>
        </w:rPr>
        <w:t>University of Manchester (JBCA) – Clive Dickinson, Ian Browne</w:t>
      </w:r>
    </w:p>
    <w:p>
      <w:pPr>
        <w:pStyle w:val="ListParagraph"/>
        <w:numPr>
          <w:ilvl w:val="1"/>
          <w:numId w:val="1"/>
        </w:numPr>
        <w:spacing w:before="120" w:after="240"/>
        <w:jc w:val="both"/>
        <w:rPr>
          <w:rFonts w:cs="Arial"/>
        </w:rPr>
      </w:pPr>
      <w:r>
        <w:rPr>
          <w:rFonts w:cs="Arial"/>
        </w:rPr>
        <w:t>University College London – Filipe Abdalla</w:t>
      </w:r>
    </w:p>
    <w:p>
      <w:pPr>
        <w:pStyle w:val="ListParagraph"/>
        <w:numPr>
          <w:ilvl w:val="0"/>
          <w:numId w:val="1"/>
        </w:numPr>
        <w:spacing w:before="120" w:after="240"/>
        <w:jc w:val="both"/>
        <w:rPr>
          <w:rFonts w:cs="Arial"/>
        </w:rPr>
      </w:pPr>
      <w:r>
        <w:rPr>
          <w:rFonts w:cs="Arial"/>
        </w:rPr>
        <w:t>Suíça</w:t>
      </w:r>
    </w:p>
    <w:p>
      <w:pPr>
        <w:pStyle w:val="ListParagraph"/>
        <w:numPr>
          <w:ilvl w:val="1"/>
          <w:numId w:val="1"/>
        </w:numPr>
        <w:spacing w:before="120" w:after="240"/>
        <w:jc w:val="both"/>
        <w:rPr>
          <w:rFonts w:cs="Arial"/>
        </w:rPr>
      </w:pPr>
      <w:r>
        <w:rPr>
          <w:rFonts w:cs="Arial"/>
        </w:rPr>
        <w:t>ETH (Instituto Federal Suíço de Tecnologia, Zurique) – Alex Refregier, Christian Monstein</w:t>
      </w:r>
    </w:p>
    <w:p>
      <w:pPr>
        <w:pStyle w:val="Normal"/>
        <w:spacing w:before="120" w:after="240"/>
        <w:jc w:val="both"/>
        <w:rPr/>
      </w:pPr>
      <w:r>
        <w:rPr>
          <w:rFonts w:cs="Arial"/>
        </w:rPr>
        <w:t xml:space="preserve">Mais informações podem ser encontradas no site </w:t>
      </w:r>
      <w:hyperlink r:id="rId9">
        <w:r>
          <w:rPr>
            <w:rStyle w:val="LinkdaInternet"/>
            <w:rFonts w:cs="Arial"/>
          </w:rPr>
          <w:t>www.bingotelescope.org</w:t>
        </w:r>
      </w:hyperlink>
      <w:r>
        <w:rPr>
          <w:rFonts w:cs="Arial"/>
        </w:rPr>
        <w:t xml:space="preserve">. </w:t>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Referências</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S. Perlmutter et al. [Supernova Cosmology Project Collaboration], Nature 391, 51 (1998) [astro-ph/9712212].</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G. Riess et al. [Supernova Search Team Collaboration], Astron. J. 116, 1009 (1998) [astro-ph/9805201].</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P. N. Wilkinson, Proceedings of the 131st IAU Colloquium (1991), p. 428-432.</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J. Noordam, R. Braun, G. de Bruyn, NFRA Note 585 (1991).</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Sawicki, I. D. Saltas, L. Amendola and M. Kunz, JCAP 1301, 004 (2013) [arXiv:1208.4855 [astro-ph.CO]].</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R. A. Battye, R. D. Davies and J. Weller, Mon. Not. Roy. Astron. Soc. 355, 1339 (2004) [astro-ph/0401340].</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B. Peterson, K. Bandura and U. L. Pen, astro-ph/0606104.</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Loeb and S. Wyithe, Phys. Rev. Lett. 100, 161301 (2008) [arXiv:0801.1677 [astro-ph]].</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W. Masui, E. R. Switzer, N. Banavar, K. Bandura, C. Blake, L. -M. Calin, T. -C. Chang and X. Chen et al., arXiv:1208.0331 [astro-ph.CO].</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R. A. Battye, I. W. A. Browne, C. Dickinson, G. Heron, B. Maffei, A. Pourtsidou, arXiv:1209.0343 [astro-ph.CO].</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Lorimer et al. 2007, Science 318, 777.</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Thornton et al., 2013, Science, 340, 53.</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Kramer et al. 2006, Science 313, 549.</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Camilo et al., 2012, ApJ, 746, 63.</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Lorimer et al., 2012, ApJ, 758, 141.</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Young et al., 2013, MNRAS, 429, 2569.</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Lyne et al., 2010, Science, 329, 408.</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Ioka, 2003, ApJ, 598, L79.</w:t>
      </w:r>
    </w:p>
    <w:p>
      <w:pPr>
        <w:pStyle w:val="ListParagraph"/>
        <w:numPr>
          <w:ilvl w:val="0"/>
          <w:numId w:val="3"/>
        </w:numPr>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e.g., Haslam et al. 1982.</w:t>
      </w:r>
    </w:p>
    <w:p>
      <w:pPr>
        <w:pStyle w:val="ListParagraph"/>
        <w:numPr>
          <w:ilvl w:val="0"/>
          <w:numId w:val="3"/>
        </w:numPr>
        <w:spacing w:lineRule="auto" w:line="240" w:before="0" w:after="0"/>
        <w:jc w:val="both"/>
        <w:rPr/>
      </w:pPr>
      <w:r>
        <w:rPr>
          <w:rFonts w:cs="Times New Roman" w:ascii="Times New Roman" w:hAnsi="Times New Roman"/>
          <w:sz w:val="20"/>
          <w:szCs w:val="20"/>
        </w:rPr>
        <w:t>e.g., Alves et al. 2011, 2012.</w:t>
      </w:r>
    </w:p>
    <w:sectPr>
      <w:footerReference w:type="default" r:id="rId10"/>
      <w:footerReference w:type="first" r:id="rId11"/>
      <w:type w:val="nextPage"/>
      <w:pgSz w:w="11906" w:h="16838"/>
      <w:pgMar w:left="1361" w:right="1361" w:header="0" w:top="1361" w:footer="709" w:bottom="1134"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ind w:right="360" w:hanging="0"/>
      <w:rPr/>
    </w:pPr>
    <w:r>
      <w:rPr/>
    </w:r>
    <w:r>
      <mc:AlternateContent>
        <mc:Choice Requires="wps">
          <w:drawing>
            <wp:anchor behindDoc="0" distT="0" distB="0" distL="0" distR="0" simplePos="0" locked="0" layoutInCell="1" allowOverlap="1" relativeHeight="2">
              <wp:simplePos x="0" y="0"/>
              <wp:positionH relativeFrom="margin">
                <wp:align>right</wp:align>
              </wp:positionH>
              <wp:positionV relativeFrom="paragraph">
                <wp:posOffset>635</wp:posOffset>
              </wp:positionV>
              <wp:extent cx="65405" cy="118110"/>
              <wp:effectExtent l="0" t="0" r="0" b="0"/>
              <wp:wrapSquare wrapText="largest"/>
              <wp:docPr id="1" name="Quadro1"/>
              <a:graphic xmlns:a="http://schemas.openxmlformats.org/drawingml/2006/main">
                <a:graphicData uri="http://schemas.microsoft.com/office/word/2010/wordprocessingShape">
                  <wps:wsp>
                    <wps:cNvSpPr txBox="1"/>
                    <wps:spPr>
                      <a:xfrm>
                        <a:off x="0" y="0"/>
                        <a:ext cx="65405" cy="118110"/>
                      </a:xfrm>
                      <a:prstGeom prst="rect"/>
                      <a:solidFill>
                        <a:srgbClr val="FFFFFF">
                          <a:alpha val="0"/>
                        </a:srgbClr>
                      </a:solidFill>
                    </wps:spPr>
                    <wps:txbx>
                      <w:txbxContent>
                        <w:p>
                          <w:pPr>
                            <w:pStyle w:val="Rodap"/>
                            <w:pBdr/>
                            <w:rPr/>
                          </w:pPr>
                          <w:r>
                            <w:rPr>
                              <w:rStyle w:val="Pagenumber"/>
                              <w:sz w:val="16"/>
                              <w:szCs w:val="16"/>
                            </w:rPr>
                            <w:fldChar w:fldCharType="begin"/>
                          </w:r>
                          <w:r>
                            <w:instrText> PAGE </w:instrText>
                          </w:r>
                          <w:r>
                            <w:fldChar w:fldCharType="separate"/>
                          </w:r>
                          <w:r>
                            <w:t>1</w:t>
                          </w:r>
                          <w:r>
                            <w:fldChar w:fldCharType="end"/>
                          </w:r>
                        </w:p>
                      </w:txbxContent>
                    </wps:txbx>
                    <wps:bodyPr anchor="t" lIns="0" tIns="0" rIns="0" bIns="0">
                      <a:spAutoFit/>
                    </wps:bodyPr>
                  </wps:wsp>
                </a:graphicData>
              </a:graphic>
            </wp:anchor>
          </w:drawing>
        </mc:Choice>
        <mc:Fallback>
          <w:pict>
            <v:rect fillcolor="#FFFFFF" style="position:absolute;rotation:0;width:5.15pt;height:9.3pt;mso-wrap-distance-left:0pt;mso-wrap-distance-right:0pt;mso-wrap-distance-top:0pt;mso-wrap-distance-bottom:0pt;margin-top:0.05pt;mso-position-vertical-relative:text;margin-left:448.4pt;mso-position-horizontal:right;mso-position-horizontal-relative:margin">
              <v:fill opacity="0f"/>
              <v:textbox inset="0in,0in,0in,0in">
                <w:txbxContent>
                  <w:p>
                    <w:pPr>
                      <w:pStyle w:val="Rodap"/>
                      <w:pBdr/>
                      <w:rPr/>
                    </w:pPr>
                    <w:r>
                      <w:rPr>
                        <w:rStyle w:val="Pagenumber"/>
                        <w:sz w:val="16"/>
                        <w:szCs w:val="16"/>
                      </w:rPr>
                      <w:fldChar w:fldCharType="begin"/>
                    </w:r>
                    <w:r>
                      <w:instrText> PAGE </w:instrText>
                    </w:r>
                    <w:r>
                      <w:fldChar w:fldCharType="separate"/>
                    </w:r>
                    <w:r>
                      <w:t>1</w:t>
                    </w:r>
                    <w: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rStyle w:val="Pagenumber"/>
        <w:sz w:val="16"/>
        <w:szCs w:val="16"/>
      </w:rPr>
      <w:fldChar w:fldCharType="begin"/>
    </w:r>
    <w:r>
      <w:instrText> PAGE </w:instrText>
    </w:r>
    <w:r>
      <w:fldChar w:fldCharType="separate"/>
    </w:r>
    <w:r>
      <w:t>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228a8"/>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pt-BR" w:eastAsia="en-US" w:bidi="ar-SA"/>
    </w:rPr>
  </w:style>
  <w:style w:type="paragraph" w:styleId="Ttulo1">
    <w:name w:val="Heading 1"/>
    <w:basedOn w:val="Normal"/>
    <w:next w:val="Normal"/>
    <w:link w:val="Heading1Char"/>
    <w:uiPriority w:val="9"/>
    <w:qFormat/>
    <w:rsid w:val="00da5a85"/>
    <w:pPr>
      <w:keepNext/>
      <w:keepLines/>
      <w:spacing w:before="240" w:after="240"/>
      <w:outlineLvl w:val="0"/>
    </w:pPr>
    <w:rPr>
      <w:rFonts w:ascii="Arial" w:hAnsi="Arial" w:eastAsia="ＭＳ ゴシック" w:cs="" w:cstheme="majorBidi" w:eastAsiaTheme="majorEastAsia"/>
      <w:b/>
      <w:bCs/>
      <w:sz w:val="24"/>
      <w:szCs w:val="28"/>
    </w:rPr>
  </w:style>
  <w:style w:type="paragraph" w:styleId="Ttulo2">
    <w:name w:val="Heading 2"/>
    <w:basedOn w:val="Normal"/>
    <w:next w:val="Normal"/>
    <w:link w:val="Heading2Char"/>
    <w:uiPriority w:val="9"/>
    <w:unhideWhenUsed/>
    <w:qFormat/>
    <w:rsid w:val="00da5a85"/>
    <w:pPr>
      <w:keepNext/>
      <w:keepLines/>
      <w:spacing w:before="360" w:after="360"/>
      <w:outlineLvl w:val="1"/>
    </w:pPr>
    <w:rPr>
      <w:rFonts w:ascii="Arial" w:hAnsi="Arial" w:eastAsia="ＭＳ ゴシック" w:cs="" w:cstheme="majorBidi" w:eastAsiaTheme="majorEastAsia"/>
      <w:bCs/>
      <w:sz w:val="24"/>
      <w:szCs w:val="26"/>
    </w:rPr>
  </w:style>
  <w:style w:type="character" w:styleId="DefaultParagraphFont" w:default="1">
    <w:name w:val="Default Paragraph Font"/>
    <w:uiPriority w:val="1"/>
    <w:semiHidden/>
    <w:unhideWhenUsed/>
    <w:qFormat/>
    <w:rPr/>
  </w:style>
  <w:style w:type="character" w:styleId="TextoChar" w:customStyle="1">
    <w:name w:val="Texto Char"/>
    <w:link w:val="Texto"/>
    <w:qFormat/>
    <w:rsid w:val="00752012"/>
    <w:rPr>
      <w:rFonts w:ascii="Arial" w:hAnsi="Arial" w:eastAsia="ＭＳ ゴシック" w:cs="Arial" w:eastAsiaTheme="majorEastAsia"/>
      <w:b w:val="false"/>
      <w:bCs/>
      <w:color w:val="000000" w:themeColor="text1"/>
      <w:sz w:val="24"/>
      <w:szCs w:val="24"/>
    </w:rPr>
  </w:style>
  <w:style w:type="character" w:styleId="Heading1Char" w:customStyle="1">
    <w:name w:val="Heading 1 Char"/>
    <w:basedOn w:val="DefaultParagraphFont"/>
    <w:link w:val="Heading1"/>
    <w:uiPriority w:val="9"/>
    <w:qFormat/>
    <w:rsid w:val="00da5a85"/>
    <w:rPr>
      <w:rFonts w:ascii="Arial" w:hAnsi="Arial" w:eastAsia="ＭＳ ゴシック" w:cs="" w:cstheme="majorBidi" w:eastAsiaTheme="majorEastAsia"/>
      <w:b/>
      <w:bCs/>
      <w:sz w:val="24"/>
      <w:szCs w:val="28"/>
    </w:rPr>
  </w:style>
  <w:style w:type="character" w:styleId="BalloonTextChar" w:customStyle="1">
    <w:name w:val="Balloon Text Char"/>
    <w:basedOn w:val="DefaultParagraphFont"/>
    <w:link w:val="BalloonText"/>
    <w:uiPriority w:val="99"/>
    <w:semiHidden/>
    <w:qFormat/>
    <w:rsid w:val="008729d6"/>
    <w:rPr>
      <w:rFonts w:ascii="Tahoma" w:hAnsi="Tahoma" w:cs="Tahoma"/>
      <w:sz w:val="16"/>
      <w:szCs w:val="16"/>
    </w:rPr>
  </w:style>
  <w:style w:type="character" w:styleId="FigurasChar" w:customStyle="1">
    <w:name w:val="figuras Char"/>
    <w:basedOn w:val="Heading1Char"/>
    <w:link w:val="figuras"/>
    <w:qFormat/>
    <w:rsid w:val="00ca54d8"/>
    <w:rPr>
      <w:rFonts w:ascii="Arial" w:hAnsi="Arial" w:eastAsia="ＭＳ ゴシック" w:cs="Arial" w:eastAsiaTheme="majorEastAsia"/>
      <w:b w:val="false"/>
      <w:bCs/>
      <w:color w:val="000000" w:themeColor="text1"/>
      <w:sz w:val="20"/>
      <w:szCs w:val="24"/>
    </w:rPr>
  </w:style>
  <w:style w:type="character" w:styleId="Heading2Char" w:customStyle="1">
    <w:name w:val="Heading 2 Char"/>
    <w:basedOn w:val="DefaultParagraphFont"/>
    <w:link w:val="Heading2"/>
    <w:uiPriority w:val="9"/>
    <w:qFormat/>
    <w:rsid w:val="00da5a85"/>
    <w:rPr>
      <w:rFonts w:ascii="Arial" w:hAnsi="Arial" w:eastAsia="ＭＳ ゴシック" w:cs="" w:cstheme="majorBidi" w:eastAsiaTheme="majorEastAsia"/>
      <w:bCs/>
      <w:sz w:val="24"/>
      <w:szCs w:val="26"/>
    </w:rPr>
  </w:style>
  <w:style w:type="character" w:styleId="Annotationreference">
    <w:name w:val="annotation reference"/>
    <w:basedOn w:val="DefaultParagraphFont"/>
    <w:uiPriority w:val="99"/>
    <w:semiHidden/>
    <w:unhideWhenUsed/>
    <w:qFormat/>
    <w:rsid w:val="003d5e5a"/>
    <w:rPr>
      <w:sz w:val="16"/>
      <w:szCs w:val="16"/>
    </w:rPr>
  </w:style>
  <w:style w:type="character" w:styleId="CommentTextChar" w:customStyle="1">
    <w:name w:val="Comment Text Char"/>
    <w:basedOn w:val="DefaultParagraphFont"/>
    <w:link w:val="CommentText"/>
    <w:uiPriority w:val="99"/>
    <w:semiHidden/>
    <w:qFormat/>
    <w:rsid w:val="003d5e5a"/>
    <w:rPr>
      <w:sz w:val="20"/>
      <w:szCs w:val="20"/>
    </w:rPr>
  </w:style>
  <w:style w:type="character" w:styleId="CommentSubjectChar" w:customStyle="1">
    <w:name w:val="Comment Subject Char"/>
    <w:basedOn w:val="CommentTextChar"/>
    <w:link w:val="CommentSubject"/>
    <w:uiPriority w:val="99"/>
    <w:semiHidden/>
    <w:qFormat/>
    <w:rsid w:val="003d5e5a"/>
    <w:rPr>
      <w:b/>
      <w:bCs/>
      <w:sz w:val="20"/>
      <w:szCs w:val="20"/>
    </w:rPr>
  </w:style>
  <w:style w:type="character" w:styleId="HeaderChar" w:customStyle="1">
    <w:name w:val="Header Char"/>
    <w:basedOn w:val="DefaultParagraphFont"/>
    <w:link w:val="Header"/>
    <w:uiPriority w:val="99"/>
    <w:qFormat/>
    <w:rsid w:val="003d697c"/>
    <w:rPr/>
  </w:style>
  <w:style w:type="character" w:styleId="FooterChar" w:customStyle="1">
    <w:name w:val="Footer Char"/>
    <w:basedOn w:val="DefaultParagraphFont"/>
    <w:link w:val="Footer"/>
    <w:uiPriority w:val="99"/>
    <w:qFormat/>
    <w:rsid w:val="003d697c"/>
    <w:rPr/>
  </w:style>
  <w:style w:type="character" w:styleId="Pagenumber">
    <w:name w:val="page number"/>
    <w:basedOn w:val="DefaultParagraphFont"/>
    <w:uiPriority w:val="99"/>
    <w:semiHidden/>
    <w:unhideWhenUsed/>
    <w:qFormat/>
    <w:rsid w:val="003d697c"/>
    <w:rPr/>
  </w:style>
  <w:style w:type="character" w:styleId="LinkdaInternet">
    <w:name w:val="Link da Internet"/>
    <w:basedOn w:val="DefaultParagraphFont"/>
    <w:uiPriority w:val="99"/>
    <w:unhideWhenUsed/>
    <w:rsid w:val="00316dfe"/>
    <w:rPr>
      <w:color w:val="0000FF" w:themeColor="hyperlink"/>
      <w:u w:val="single"/>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exto" w:customStyle="1">
    <w:name w:val="Texto"/>
    <w:basedOn w:val="Ttulo1"/>
    <w:link w:val="TextoChar"/>
    <w:qFormat/>
    <w:rsid w:val="00752012"/>
    <w:pPr>
      <w:spacing w:lineRule="auto" w:line="360" w:before="120" w:after="120"/>
      <w:jc w:val="both"/>
    </w:pPr>
    <w:rPr>
      <w:rFonts w:cs="Arial"/>
      <w:b w:val="false"/>
      <w:color w:val="000000" w:themeColor="text1"/>
      <w:szCs w:val="24"/>
    </w:rPr>
  </w:style>
  <w:style w:type="paragraph" w:styleId="ListParagraph">
    <w:name w:val="List Paragraph"/>
    <w:basedOn w:val="Normal"/>
    <w:uiPriority w:val="34"/>
    <w:qFormat/>
    <w:rsid w:val="008729d6"/>
    <w:pPr>
      <w:spacing w:before="0" w:after="200"/>
      <w:ind w:left="720" w:hanging="0"/>
      <w:contextualSpacing/>
    </w:pPr>
    <w:rPr/>
  </w:style>
  <w:style w:type="paragraph" w:styleId="BalloonText">
    <w:name w:val="Balloon Text"/>
    <w:basedOn w:val="Normal"/>
    <w:link w:val="BalloonTextChar"/>
    <w:uiPriority w:val="99"/>
    <w:semiHidden/>
    <w:unhideWhenUsed/>
    <w:qFormat/>
    <w:rsid w:val="008729d6"/>
    <w:pPr>
      <w:spacing w:lineRule="auto" w:line="240" w:before="0" w:after="0"/>
    </w:pPr>
    <w:rPr>
      <w:rFonts w:ascii="Tahoma" w:hAnsi="Tahoma" w:cs="Tahoma"/>
      <w:sz w:val="16"/>
      <w:szCs w:val="16"/>
    </w:rPr>
  </w:style>
  <w:style w:type="paragraph" w:styleId="Figuras" w:customStyle="1">
    <w:name w:val="figuras"/>
    <w:basedOn w:val="Ttulo1"/>
    <w:link w:val="figurasChar"/>
    <w:qFormat/>
    <w:rsid w:val="00ca54d8"/>
    <w:pPr>
      <w:spacing w:lineRule="auto" w:line="240" w:before="120" w:after="120"/>
      <w:jc w:val="both"/>
    </w:pPr>
    <w:rPr>
      <w:rFonts w:cs="Arial"/>
      <w:b w:val="false"/>
      <w:color w:val="000000" w:themeColor="text1"/>
      <w:sz w:val="20"/>
      <w:szCs w:val="24"/>
    </w:rPr>
  </w:style>
  <w:style w:type="paragraph" w:styleId="NoSpacing">
    <w:name w:val="No Spacing"/>
    <w:uiPriority w:val="1"/>
    <w:qFormat/>
    <w:rsid w:val="00a77126"/>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pt-BR" w:eastAsia="en-US" w:bidi="ar-SA"/>
    </w:rPr>
  </w:style>
  <w:style w:type="paragraph" w:styleId="Annotationtext">
    <w:name w:val="annotation text"/>
    <w:basedOn w:val="Normal"/>
    <w:link w:val="CommentTextChar"/>
    <w:uiPriority w:val="99"/>
    <w:semiHidden/>
    <w:unhideWhenUsed/>
    <w:qFormat/>
    <w:rsid w:val="003d5e5a"/>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3d5e5a"/>
    <w:pPr/>
    <w:rPr>
      <w:b/>
      <w:bCs/>
    </w:rPr>
  </w:style>
  <w:style w:type="paragraph" w:styleId="Revision">
    <w:name w:val="Revision"/>
    <w:uiPriority w:val="99"/>
    <w:semiHidden/>
    <w:qFormat/>
    <w:rsid w:val="00204561"/>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pt-BR" w:eastAsia="en-US" w:bidi="ar-SA"/>
    </w:rPr>
  </w:style>
  <w:style w:type="paragraph" w:styleId="Cabealho">
    <w:name w:val="Header"/>
    <w:basedOn w:val="Normal"/>
    <w:link w:val="HeaderChar"/>
    <w:uiPriority w:val="99"/>
    <w:unhideWhenUsed/>
    <w:rsid w:val="003d697c"/>
    <w:pPr>
      <w:tabs>
        <w:tab w:val="center" w:pos="4320" w:leader="none"/>
        <w:tab w:val="right" w:pos="8640" w:leader="none"/>
      </w:tabs>
      <w:spacing w:lineRule="auto" w:line="240" w:before="0" w:after="0"/>
    </w:pPr>
    <w:rPr/>
  </w:style>
  <w:style w:type="paragraph" w:styleId="Rodap">
    <w:name w:val="Footer"/>
    <w:basedOn w:val="Normal"/>
    <w:link w:val="FooterChar"/>
    <w:uiPriority w:val="99"/>
    <w:unhideWhenUsed/>
    <w:rsid w:val="003d697c"/>
    <w:pPr>
      <w:tabs>
        <w:tab w:val="center" w:pos="4320" w:leader="none"/>
        <w:tab w:val="right" w:pos="8640" w:leader="none"/>
      </w:tabs>
      <w:spacing w:lineRule="auto" w:line="240" w:before="0" w:after="0"/>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51ad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ColorfulShading-Accent1">
    <w:name w:val="Colorful Shading Accent 1"/>
    <w:basedOn w:val="TableNormal"/>
    <w:uiPriority w:val="71"/>
    <w:rsid w:val="00d603c7"/>
    <w:pPr>
      <w:spacing w:after="0" w:line="240" w:lineRule="auto"/>
    </w:pPr>
    <w:rPr>
      <w:lang w:val="en-GB"/>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hyperlink" Target="http://www.bingotelescope.org/"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81F47-3128-F042-AFF3-6ECC7EFB8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Application>LibreOffice/5.1.6.2$Linux_X86_64 LibreOffice_project/10m0$Build-2</Application>
  <Pages>10</Pages>
  <Words>2694</Words>
  <Characters>14267</Characters>
  <CharactersWithSpaces>16845</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2017-06-27T19:42:00Z</dcterms:created>
  <dc:creator>ceciliacb</dc:creator>
  <dc:description/>
  <dc:language>en-US</dc:language>
  <cp:lastModifiedBy/>
  <dcterms:modified xsi:type="dcterms:W3CDTF">2017-06-30T22:12:46Z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