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BBA" w:rsidRDefault="00881BBA" w:rsidP="005504CB">
      <w:pPr>
        <w:ind w:left="2832" w:hanging="2832"/>
        <w:jc w:val="both"/>
      </w:pPr>
    </w:p>
    <w:p w:rsidR="00881BBA" w:rsidRDefault="00881BBA" w:rsidP="00881BBA">
      <w:pPr>
        <w:jc w:val="both"/>
      </w:pPr>
    </w:p>
    <w:p w:rsidR="00881BBA" w:rsidRDefault="00881BBA" w:rsidP="00881BBA">
      <w:pPr>
        <w:jc w:val="center"/>
        <w:rPr>
          <w:sz w:val="96"/>
          <w:szCs w:val="96"/>
        </w:rPr>
      </w:pPr>
    </w:p>
    <w:p w:rsidR="00881BBA" w:rsidRPr="007B309E" w:rsidRDefault="00881BBA" w:rsidP="00881BBA">
      <w:pPr>
        <w:jc w:val="center"/>
        <w:rPr>
          <w:rFonts w:ascii="Times New Roman" w:hAnsi="Times New Roman" w:cs="Times New Roman"/>
          <w:sz w:val="96"/>
          <w:szCs w:val="96"/>
        </w:rPr>
      </w:pPr>
    </w:p>
    <w:p w:rsidR="001B039F" w:rsidRPr="007B309E" w:rsidRDefault="00C877DC" w:rsidP="00881BBA">
      <w:pPr>
        <w:jc w:val="center"/>
        <w:rPr>
          <w:rFonts w:ascii="Times New Roman" w:hAnsi="Times New Roman" w:cs="Times New Roman"/>
          <w:sz w:val="96"/>
          <w:szCs w:val="96"/>
          <w:lang w:val="es-AR"/>
        </w:rPr>
      </w:pPr>
      <w:r>
        <w:rPr>
          <w:rFonts w:ascii="Times New Roman" w:hAnsi="Times New Roman" w:cs="Times New Roman"/>
          <w:sz w:val="96"/>
          <w:szCs w:val="96"/>
          <w:lang w:val="es-AR"/>
        </w:rPr>
        <w:t xml:space="preserve">Procedimiento para </w:t>
      </w:r>
      <w:r w:rsidR="00C26562">
        <w:rPr>
          <w:rFonts w:ascii="Times New Roman" w:hAnsi="Times New Roman" w:cs="Times New Roman"/>
          <w:sz w:val="96"/>
          <w:szCs w:val="96"/>
          <w:lang w:val="es-AR"/>
        </w:rPr>
        <w:t xml:space="preserve">instalar y configurar el cliente GIT </w:t>
      </w:r>
    </w:p>
    <w:p w:rsidR="007B309E" w:rsidRDefault="007B309E" w:rsidP="007B309E">
      <w:pPr>
        <w:autoSpaceDE w:val="0"/>
        <w:autoSpaceDN w:val="0"/>
        <w:adjustRightInd w:val="0"/>
        <w:spacing w:after="0" w:line="240" w:lineRule="auto"/>
        <w:jc w:val="center"/>
        <w:rPr>
          <w:rFonts w:ascii="CMR12" w:hAnsi="CMR12" w:cs="CMR12"/>
          <w:sz w:val="29"/>
          <w:szCs w:val="29"/>
          <w:lang w:val="es-AR"/>
        </w:rPr>
      </w:pPr>
    </w:p>
    <w:p w:rsidR="00C26562" w:rsidRDefault="00C26562">
      <w:pPr>
        <w:rPr>
          <w:rFonts w:ascii="CMR12" w:hAnsi="CMR12" w:cs="CMR12"/>
          <w:sz w:val="29"/>
          <w:szCs w:val="29"/>
          <w:lang w:val="es-AR"/>
        </w:rPr>
      </w:pPr>
      <w:r>
        <w:rPr>
          <w:rFonts w:ascii="CMR12" w:hAnsi="CMR12" w:cs="CMR12"/>
          <w:sz w:val="29"/>
          <w:szCs w:val="29"/>
          <w:lang w:val="es-AR"/>
        </w:rPr>
        <w:br w:type="page"/>
      </w:r>
    </w:p>
    <w:sdt>
      <w:sdtPr>
        <w:rPr>
          <w:rFonts w:asciiTheme="minorHAnsi" w:eastAsiaTheme="minorHAnsi" w:hAnsiTheme="minorHAnsi" w:cstheme="minorBidi"/>
          <w:b w:val="0"/>
          <w:bCs w:val="0"/>
          <w:color w:val="auto"/>
          <w:sz w:val="22"/>
          <w:szCs w:val="22"/>
          <w:lang w:eastAsia="en-US"/>
        </w:rPr>
        <w:id w:val="1660115448"/>
        <w:docPartObj>
          <w:docPartGallery w:val="Table of Contents"/>
          <w:docPartUnique/>
        </w:docPartObj>
      </w:sdtPr>
      <w:sdtEndPr/>
      <w:sdtContent>
        <w:p w:rsidR="002E73D8" w:rsidRPr="002E73D8" w:rsidRDefault="002E73D8" w:rsidP="002E73D8">
          <w:pPr>
            <w:pStyle w:val="TtulodeTDC"/>
            <w:numPr>
              <w:ilvl w:val="0"/>
              <w:numId w:val="0"/>
            </w:numPr>
            <w:rPr>
              <w:rFonts w:asciiTheme="minorHAnsi" w:eastAsiaTheme="minorHAnsi" w:hAnsiTheme="minorHAnsi" w:cstheme="minorBidi"/>
              <w:bCs w:val="0"/>
              <w:color w:val="4F81BD" w:themeColor="accent1"/>
              <w:sz w:val="40"/>
              <w:szCs w:val="40"/>
              <w:lang w:eastAsia="en-US"/>
            </w:rPr>
          </w:pPr>
          <w:r w:rsidRPr="002E73D8">
            <w:rPr>
              <w:rFonts w:asciiTheme="minorHAnsi" w:eastAsiaTheme="minorHAnsi" w:hAnsiTheme="minorHAnsi" w:cstheme="minorBidi"/>
              <w:bCs w:val="0"/>
              <w:color w:val="4F81BD" w:themeColor="accent1"/>
              <w:sz w:val="40"/>
              <w:szCs w:val="40"/>
              <w:lang w:eastAsia="en-US"/>
            </w:rPr>
            <w:t>Sumário</w:t>
          </w:r>
        </w:p>
        <w:p w:rsidR="002A3A9D" w:rsidRDefault="0062682A">
          <w:pPr>
            <w:pStyle w:val="TDC1"/>
            <w:tabs>
              <w:tab w:val="right" w:leader="dot" w:pos="10456"/>
            </w:tabs>
            <w:rPr>
              <w:rFonts w:eastAsiaTheme="minorEastAsia"/>
              <w:noProof/>
              <w:lang w:val="pt-PT" w:eastAsia="pt-PT"/>
            </w:rPr>
          </w:pPr>
          <w:r w:rsidRPr="00453E15">
            <w:rPr>
              <w:sz w:val="20"/>
              <w:szCs w:val="20"/>
            </w:rPr>
            <w:fldChar w:fldCharType="begin"/>
          </w:r>
          <w:r w:rsidRPr="00453E15">
            <w:rPr>
              <w:sz w:val="20"/>
              <w:szCs w:val="20"/>
            </w:rPr>
            <w:instrText xml:space="preserve"> TOC \o "1-3" \h \z \u </w:instrText>
          </w:r>
          <w:r w:rsidRPr="00453E15">
            <w:rPr>
              <w:sz w:val="20"/>
              <w:szCs w:val="20"/>
            </w:rPr>
            <w:fldChar w:fldCharType="separate"/>
          </w:r>
          <w:hyperlink w:anchor="_Toc13130510" w:history="1">
            <w:r w:rsidR="002A3A9D" w:rsidRPr="001B53C6">
              <w:rPr>
                <w:rStyle w:val="Hipervnculo"/>
                <w:noProof/>
              </w:rPr>
              <w:t>1 Introducción</w:t>
            </w:r>
            <w:r w:rsidR="002A3A9D">
              <w:rPr>
                <w:noProof/>
                <w:webHidden/>
              </w:rPr>
              <w:tab/>
            </w:r>
            <w:r w:rsidR="002A3A9D">
              <w:rPr>
                <w:noProof/>
                <w:webHidden/>
              </w:rPr>
              <w:fldChar w:fldCharType="begin"/>
            </w:r>
            <w:r w:rsidR="002A3A9D">
              <w:rPr>
                <w:noProof/>
                <w:webHidden/>
              </w:rPr>
              <w:instrText xml:space="preserve"> PAGEREF _Toc13130510 \h </w:instrText>
            </w:r>
            <w:r w:rsidR="002A3A9D">
              <w:rPr>
                <w:noProof/>
                <w:webHidden/>
              </w:rPr>
            </w:r>
            <w:r w:rsidR="002A3A9D">
              <w:rPr>
                <w:noProof/>
                <w:webHidden/>
              </w:rPr>
              <w:fldChar w:fldCharType="separate"/>
            </w:r>
            <w:r w:rsidR="002A3A9D">
              <w:rPr>
                <w:noProof/>
                <w:webHidden/>
              </w:rPr>
              <w:t>3</w:t>
            </w:r>
            <w:r w:rsidR="002A3A9D">
              <w:rPr>
                <w:noProof/>
                <w:webHidden/>
              </w:rPr>
              <w:fldChar w:fldCharType="end"/>
            </w:r>
          </w:hyperlink>
        </w:p>
        <w:p w:rsidR="002A3A9D" w:rsidRDefault="00836C49">
          <w:pPr>
            <w:pStyle w:val="TDC1"/>
            <w:tabs>
              <w:tab w:val="right" w:leader="dot" w:pos="10456"/>
            </w:tabs>
            <w:rPr>
              <w:rFonts w:eastAsiaTheme="minorEastAsia"/>
              <w:noProof/>
              <w:lang w:val="pt-PT" w:eastAsia="pt-PT"/>
            </w:rPr>
          </w:pPr>
          <w:hyperlink w:anchor="_Toc13130511" w:history="1">
            <w:r w:rsidR="002A3A9D" w:rsidRPr="001B53C6">
              <w:rPr>
                <w:rStyle w:val="Hipervnculo"/>
                <w:noProof/>
                <w:lang w:val="es-AR"/>
              </w:rPr>
              <w:t>2 Migración de la DB</w:t>
            </w:r>
            <w:r w:rsidR="002A3A9D">
              <w:rPr>
                <w:noProof/>
                <w:webHidden/>
              </w:rPr>
              <w:tab/>
            </w:r>
            <w:r w:rsidR="002A3A9D">
              <w:rPr>
                <w:noProof/>
                <w:webHidden/>
              </w:rPr>
              <w:fldChar w:fldCharType="begin"/>
            </w:r>
            <w:r w:rsidR="002A3A9D">
              <w:rPr>
                <w:noProof/>
                <w:webHidden/>
              </w:rPr>
              <w:instrText xml:space="preserve"> PAGEREF _Toc13130511 \h </w:instrText>
            </w:r>
            <w:r w:rsidR="002A3A9D">
              <w:rPr>
                <w:noProof/>
                <w:webHidden/>
              </w:rPr>
            </w:r>
            <w:r w:rsidR="002A3A9D">
              <w:rPr>
                <w:noProof/>
                <w:webHidden/>
              </w:rPr>
              <w:fldChar w:fldCharType="separate"/>
            </w:r>
            <w:r w:rsidR="002A3A9D">
              <w:rPr>
                <w:noProof/>
                <w:webHidden/>
              </w:rPr>
              <w:t>4</w:t>
            </w:r>
            <w:r w:rsidR="002A3A9D">
              <w:rPr>
                <w:noProof/>
                <w:webHidden/>
              </w:rPr>
              <w:fldChar w:fldCharType="end"/>
            </w:r>
          </w:hyperlink>
        </w:p>
        <w:p w:rsidR="002A3A9D" w:rsidRDefault="00836C49">
          <w:pPr>
            <w:pStyle w:val="TDC2"/>
            <w:tabs>
              <w:tab w:val="right" w:leader="dot" w:pos="10456"/>
            </w:tabs>
            <w:rPr>
              <w:rFonts w:eastAsiaTheme="minorEastAsia"/>
              <w:noProof/>
              <w:lang w:val="pt-PT" w:eastAsia="pt-PT"/>
            </w:rPr>
          </w:pPr>
          <w:hyperlink w:anchor="_Toc13130512" w:history="1">
            <w:r w:rsidR="002A3A9D" w:rsidRPr="001B53C6">
              <w:rPr>
                <w:rStyle w:val="Hipervnculo"/>
                <w:noProof/>
                <w:lang w:val="es-AR"/>
              </w:rPr>
              <w:t>2.1 Stop de los servicios wcs</w:t>
            </w:r>
            <w:r w:rsidR="002A3A9D">
              <w:rPr>
                <w:noProof/>
                <w:webHidden/>
              </w:rPr>
              <w:tab/>
            </w:r>
            <w:r w:rsidR="002A3A9D">
              <w:rPr>
                <w:noProof/>
                <w:webHidden/>
              </w:rPr>
              <w:fldChar w:fldCharType="begin"/>
            </w:r>
            <w:r w:rsidR="002A3A9D">
              <w:rPr>
                <w:noProof/>
                <w:webHidden/>
              </w:rPr>
              <w:instrText xml:space="preserve"> PAGEREF _Toc13130512 \h </w:instrText>
            </w:r>
            <w:r w:rsidR="002A3A9D">
              <w:rPr>
                <w:noProof/>
                <w:webHidden/>
              </w:rPr>
            </w:r>
            <w:r w:rsidR="002A3A9D">
              <w:rPr>
                <w:noProof/>
                <w:webHidden/>
              </w:rPr>
              <w:fldChar w:fldCharType="separate"/>
            </w:r>
            <w:r w:rsidR="002A3A9D">
              <w:rPr>
                <w:noProof/>
                <w:webHidden/>
              </w:rPr>
              <w:t>4</w:t>
            </w:r>
            <w:r w:rsidR="002A3A9D">
              <w:rPr>
                <w:noProof/>
                <w:webHidden/>
              </w:rPr>
              <w:fldChar w:fldCharType="end"/>
            </w:r>
          </w:hyperlink>
        </w:p>
        <w:p w:rsidR="002A3A9D" w:rsidRDefault="00836C49">
          <w:pPr>
            <w:pStyle w:val="TDC2"/>
            <w:tabs>
              <w:tab w:val="right" w:leader="dot" w:pos="10456"/>
            </w:tabs>
            <w:rPr>
              <w:rFonts w:eastAsiaTheme="minorEastAsia"/>
              <w:noProof/>
              <w:lang w:val="pt-PT" w:eastAsia="pt-PT"/>
            </w:rPr>
          </w:pPr>
          <w:hyperlink w:anchor="_Toc13130513" w:history="1">
            <w:r w:rsidR="002A3A9D" w:rsidRPr="001B53C6">
              <w:rPr>
                <w:rStyle w:val="Hipervnculo"/>
                <w:noProof/>
                <w:lang w:val="es-AR"/>
              </w:rPr>
              <w:t>2.2 Backup de las tablas de datos de configuración</w:t>
            </w:r>
            <w:r w:rsidR="002A3A9D">
              <w:rPr>
                <w:noProof/>
                <w:webHidden/>
              </w:rPr>
              <w:tab/>
            </w:r>
            <w:r w:rsidR="002A3A9D">
              <w:rPr>
                <w:noProof/>
                <w:webHidden/>
              </w:rPr>
              <w:fldChar w:fldCharType="begin"/>
            </w:r>
            <w:r w:rsidR="002A3A9D">
              <w:rPr>
                <w:noProof/>
                <w:webHidden/>
              </w:rPr>
              <w:instrText xml:space="preserve"> PAGEREF _Toc13130513 \h </w:instrText>
            </w:r>
            <w:r w:rsidR="002A3A9D">
              <w:rPr>
                <w:noProof/>
                <w:webHidden/>
              </w:rPr>
            </w:r>
            <w:r w:rsidR="002A3A9D">
              <w:rPr>
                <w:noProof/>
                <w:webHidden/>
              </w:rPr>
              <w:fldChar w:fldCharType="separate"/>
            </w:r>
            <w:r w:rsidR="002A3A9D">
              <w:rPr>
                <w:noProof/>
                <w:webHidden/>
              </w:rPr>
              <w:t>4</w:t>
            </w:r>
            <w:r w:rsidR="002A3A9D">
              <w:rPr>
                <w:noProof/>
                <w:webHidden/>
              </w:rPr>
              <w:fldChar w:fldCharType="end"/>
            </w:r>
          </w:hyperlink>
        </w:p>
        <w:p w:rsidR="002A3A9D" w:rsidRDefault="00836C49">
          <w:pPr>
            <w:pStyle w:val="TDC3"/>
            <w:tabs>
              <w:tab w:val="right" w:leader="dot" w:pos="10456"/>
            </w:tabs>
            <w:rPr>
              <w:rFonts w:eastAsiaTheme="minorEastAsia"/>
              <w:noProof/>
              <w:lang w:val="pt-PT" w:eastAsia="pt-PT"/>
            </w:rPr>
          </w:pPr>
          <w:hyperlink w:anchor="_Toc13130514" w:history="1">
            <w:r w:rsidR="002A3A9D" w:rsidRPr="001B53C6">
              <w:rPr>
                <w:rStyle w:val="Hipervnculo"/>
                <w:noProof/>
                <w:lang w:val="es-AR"/>
              </w:rPr>
              <w:t>2.2.1 Backup tablas ambiente QASTAGE</w:t>
            </w:r>
            <w:r w:rsidR="002A3A9D">
              <w:rPr>
                <w:noProof/>
                <w:webHidden/>
              </w:rPr>
              <w:tab/>
            </w:r>
            <w:r w:rsidR="002A3A9D">
              <w:rPr>
                <w:noProof/>
                <w:webHidden/>
              </w:rPr>
              <w:fldChar w:fldCharType="begin"/>
            </w:r>
            <w:r w:rsidR="002A3A9D">
              <w:rPr>
                <w:noProof/>
                <w:webHidden/>
              </w:rPr>
              <w:instrText xml:space="preserve"> PAGEREF _Toc13130514 \h </w:instrText>
            </w:r>
            <w:r w:rsidR="002A3A9D">
              <w:rPr>
                <w:noProof/>
                <w:webHidden/>
              </w:rPr>
            </w:r>
            <w:r w:rsidR="002A3A9D">
              <w:rPr>
                <w:noProof/>
                <w:webHidden/>
              </w:rPr>
              <w:fldChar w:fldCharType="separate"/>
            </w:r>
            <w:r w:rsidR="002A3A9D">
              <w:rPr>
                <w:noProof/>
                <w:webHidden/>
              </w:rPr>
              <w:t>4</w:t>
            </w:r>
            <w:r w:rsidR="002A3A9D">
              <w:rPr>
                <w:noProof/>
                <w:webHidden/>
              </w:rPr>
              <w:fldChar w:fldCharType="end"/>
            </w:r>
          </w:hyperlink>
        </w:p>
        <w:p w:rsidR="002A3A9D" w:rsidRDefault="00836C49">
          <w:pPr>
            <w:pStyle w:val="TDC3"/>
            <w:tabs>
              <w:tab w:val="right" w:leader="dot" w:pos="10456"/>
            </w:tabs>
            <w:rPr>
              <w:rFonts w:eastAsiaTheme="minorEastAsia"/>
              <w:noProof/>
              <w:lang w:val="pt-PT" w:eastAsia="pt-PT"/>
            </w:rPr>
          </w:pPr>
          <w:hyperlink w:anchor="_Toc13130515" w:history="1">
            <w:r w:rsidR="002A3A9D" w:rsidRPr="001B53C6">
              <w:rPr>
                <w:rStyle w:val="Hipervnculo"/>
                <w:noProof/>
                <w:lang w:val="es-AR"/>
              </w:rPr>
              <w:t>2.2.2 Backup tablas ambiente QALIVE</w:t>
            </w:r>
            <w:r w:rsidR="002A3A9D">
              <w:rPr>
                <w:noProof/>
                <w:webHidden/>
              </w:rPr>
              <w:tab/>
            </w:r>
            <w:r w:rsidR="002A3A9D">
              <w:rPr>
                <w:noProof/>
                <w:webHidden/>
              </w:rPr>
              <w:fldChar w:fldCharType="begin"/>
            </w:r>
            <w:r w:rsidR="002A3A9D">
              <w:rPr>
                <w:noProof/>
                <w:webHidden/>
              </w:rPr>
              <w:instrText xml:space="preserve"> PAGEREF _Toc13130515 \h </w:instrText>
            </w:r>
            <w:r w:rsidR="002A3A9D">
              <w:rPr>
                <w:noProof/>
                <w:webHidden/>
              </w:rPr>
            </w:r>
            <w:r w:rsidR="002A3A9D">
              <w:rPr>
                <w:noProof/>
                <w:webHidden/>
              </w:rPr>
              <w:fldChar w:fldCharType="separate"/>
            </w:r>
            <w:r w:rsidR="002A3A9D">
              <w:rPr>
                <w:noProof/>
                <w:webHidden/>
              </w:rPr>
              <w:t>4</w:t>
            </w:r>
            <w:r w:rsidR="002A3A9D">
              <w:rPr>
                <w:noProof/>
                <w:webHidden/>
              </w:rPr>
              <w:fldChar w:fldCharType="end"/>
            </w:r>
          </w:hyperlink>
        </w:p>
        <w:p w:rsidR="002A3A9D" w:rsidRDefault="00836C49">
          <w:pPr>
            <w:pStyle w:val="TDC2"/>
            <w:tabs>
              <w:tab w:val="right" w:leader="dot" w:pos="10456"/>
            </w:tabs>
            <w:rPr>
              <w:rFonts w:eastAsiaTheme="minorEastAsia"/>
              <w:noProof/>
              <w:lang w:val="pt-PT" w:eastAsia="pt-PT"/>
            </w:rPr>
          </w:pPr>
          <w:hyperlink w:anchor="_Toc13130516" w:history="1">
            <w:r w:rsidR="002A3A9D" w:rsidRPr="001B53C6">
              <w:rPr>
                <w:rStyle w:val="Hipervnculo"/>
                <w:noProof/>
                <w:lang w:val="es-AR"/>
              </w:rPr>
              <w:t>2.3 Migración de los datos</w:t>
            </w:r>
            <w:r w:rsidR="002A3A9D">
              <w:rPr>
                <w:noProof/>
                <w:webHidden/>
              </w:rPr>
              <w:tab/>
            </w:r>
            <w:r w:rsidR="002A3A9D">
              <w:rPr>
                <w:noProof/>
                <w:webHidden/>
              </w:rPr>
              <w:fldChar w:fldCharType="begin"/>
            </w:r>
            <w:r w:rsidR="002A3A9D">
              <w:rPr>
                <w:noProof/>
                <w:webHidden/>
              </w:rPr>
              <w:instrText xml:space="preserve"> PAGEREF _Toc13130516 \h </w:instrText>
            </w:r>
            <w:r w:rsidR="002A3A9D">
              <w:rPr>
                <w:noProof/>
                <w:webHidden/>
              </w:rPr>
            </w:r>
            <w:r w:rsidR="002A3A9D">
              <w:rPr>
                <w:noProof/>
                <w:webHidden/>
              </w:rPr>
              <w:fldChar w:fldCharType="separate"/>
            </w:r>
            <w:r w:rsidR="002A3A9D">
              <w:rPr>
                <w:noProof/>
                <w:webHidden/>
              </w:rPr>
              <w:t>4</w:t>
            </w:r>
            <w:r w:rsidR="002A3A9D">
              <w:rPr>
                <w:noProof/>
                <w:webHidden/>
              </w:rPr>
              <w:fldChar w:fldCharType="end"/>
            </w:r>
          </w:hyperlink>
        </w:p>
        <w:p w:rsidR="002A3A9D" w:rsidRDefault="00836C49">
          <w:pPr>
            <w:pStyle w:val="TDC2"/>
            <w:tabs>
              <w:tab w:val="right" w:leader="dot" w:pos="10456"/>
            </w:tabs>
            <w:rPr>
              <w:rFonts w:eastAsiaTheme="minorEastAsia"/>
              <w:noProof/>
              <w:lang w:val="pt-PT" w:eastAsia="pt-PT"/>
            </w:rPr>
          </w:pPr>
          <w:hyperlink w:anchor="_Toc13130517" w:history="1">
            <w:r w:rsidR="002A3A9D" w:rsidRPr="001B53C6">
              <w:rPr>
                <w:rStyle w:val="Hipervnculo"/>
                <w:noProof/>
                <w:lang w:val="es-AR"/>
              </w:rPr>
              <w:t>2.4 Restore de datos de configuración</w:t>
            </w:r>
            <w:r w:rsidR="002A3A9D">
              <w:rPr>
                <w:noProof/>
                <w:webHidden/>
              </w:rPr>
              <w:tab/>
            </w:r>
            <w:r w:rsidR="002A3A9D">
              <w:rPr>
                <w:noProof/>
                <w:webHidden/>
              </w:rPr>
              <w:fldChar w:fldCharType="begin"/>
            </w:r>
            <w:r w:rsidR="002A3A9D">
              <w:rPr>
                <w:noProof/>
                <w:webHidden/>
              </w:rPr>
              <w:instrText xml:space="preserve"> PAGEREF _Toc13130517 \h </w:instrText>
            </w:r>
            <w:r w:rsidR="002A3A9D">
              <w:rPr>
                <w:noProof/>
                <w:webHidden/>
              </w:rPr>
            </w:r>
            <w:r w:rsidR="002A3A9D">
              <w:rPr>
                <w:noProof/>
                <w:webHidden/>
              </w:rPr>
              <w:fldChar w:fldCharType="separate"/>
            </w:r>
            <w:r w:rsidR="002A3A9D">
              <w:rPr>
                <w:noProof/>
                <w:webHidden/>
              </w:rPr>
              <w:t>4</w:t>
            </w:r>
            <w:r w:rsidR="002A3A9D">
              <w:rPr>
                <w:noProof/>
                <w:webHidden/>
              </w:rPr>
              <w:fldChar w:fldCharType="end"/>
            </w:r>
          </w:hyperlink>
        </w:p>
        <w:p w:rsidR="002A3A9D" w:rsidRDefault="00836C49">
          <w:pPr>
            <w:pStyle w:val="TDC2"/>
            <w:tabs>
              <w:tab w:val="right" w:leader="dot" w:pos="10456"/>
            </w:tabs>
            <w:rPr>
              <w:rFonts w:eastAsiaTheme="minorEastAsia"/>
              <w:noProof/>
              <w:lang w:val="pt-PT" w:eastAsia="pt-PT"/>
            </w:rPr>
          </w:pPr>
          <w:hyperlink w:anchor="_Toc13130518" w:history="1">
            <w:r w:rsidR="002A3A9D" w:rsidRPr="001B53C6">
              <w:rPr>
                <w:rStyle w:val="Hipervnculo"/>
                <w:noProof/>
                <w:lang w:val="es-AR"/>
              </w:rPr>
              <w:t>2.5 Blanqueo de la tabla maestra de propagación</w:t>
            </w:r>
            <w:r w:rsidR="002A3A9D">
              <w:rPr>
                <w:noProof/>
                <w:webHidden/>
              </w:rPr>
              <w:tab/>
            </w:r>
            <w:r w:rsidR="002A3A9D">
              <w:rPr>
                <w:noProof/>
                <w:webHidden/>
              </w:rPr>
              <w:fldChar w:fldCharType="begin"/>
            </w:r>
            <w:r w:rsidR="002A3A9D">
              <w:rPr>
                <w:noProof/>
                <w:webHidden/>
              </w:rPr>
              <w:instrText xml:space="preserve"> PAGEREF _Toc13130518 \h </w:instrText>
            </w:r>
            <w:r w:rsidR="002A3A9D">
              <w:rPr>
                <w:noProof/>
                <w:webHidden/>
              </w:rPr>
            </w:r>
            <w:r w:rsidR="002A3A9D">
              <w:rPr>
                <w:noProof/>
                <w:webHidden/>
              </w:rPr>
              <w:fldChar w:fldCharType="separate"/>
            </w:r>
            <w:r w:rsidR="002A3A9D">
              <w:rPr>
                <w:noProof/>
                <w:webHidden/>
              </w:rPr>
              <w:t>4</w:t>
            </w:r>
            <w:r w:rsidR="002A3A9D">
              <w:rPr>
                <w:noProof/>
                <w:webHidden/>
              </w:rPr>
              <w:fldChar w:fldCharType="end"/>
            </w:r>
          </w:hyperlink>
        </w:p>
        <w:p w:rsidR="002A3A9D" w:rsidRDefault="00836C49">
          <w:pPr>
            <w:pStyle w:val="TDC2"/>
            <w:tabs>
              <w:tab w:val="right" w:leader="dot" w:pos="10456"/>
            </w:tabs>
            <w:rPr>
              <w:rFonts w:eastAsiaTheme="minorEastAsia"/>
              <w:noProof/>
              <w:lang w:val="pt-PT" w:eastAsia="pt-PT"/>
            </w:rPr>
          </w:pPr>
          <w:hyperlink w:anchor="_Toc13130519" w:history="1">
            <w:r w:rsidR="002A3A9D" w:rsidRPr="001B53C6">
              <w:rPr>
                <w:rStyle w:val="Hipervnculo"/>
                <w:noProof/>
                <w:lang w:val="es-AR"/>
              </w:rPr>
              <w:t>2.6 Reinicio de los servicios wcs</w:t>
            </w:r>
            <w:r w:rsidR="002A3A9D">
              <w:rPr>
                <w:noProof/>
                <w:webHidden/>
              </w:rPr>
              <w:tab/>
            </w:r>
            <w:r w:rsidR="002A3A9D">
              <w:rPr>
                <w:noProof/>
                <w:webHidden/>
              </w:rPr>
              <w:fldChar w:fldCharType="begin"/>
            </w:r>
            <w:r w:rsidR="002A3A9D">
              <w:rPr>
                <w:noProof/>
                <w:webHidden/>
              </w:rPr>
              <w:instrText xml:space="preserve"> PAGEREF _Toc13130519 \h </w:instrText>
            </w:r>
            <w:r w:rsidR="002A3A9D">
              <w:rPr>
                <w:noProof/>
                <w:webHidden/>
              </w:rPr>
            </w:r>
            <w:r w:rsidR="002A3A9D">
              <w:rPr>
                <w:noProof/>
                <w:webHidden/>
              </w:rPr>
              <w:fldChar w:fldCharType="separate"/>
            </w:r>
            <w:r w:rsidR="002A3A9D">
              <w:rPr>
                <w:noProof/>
                <w:webHidden/>
              </w:rPr>
              <w:t>5</w:t>
            </w:r>
            <w:r w:rsidR="002A3A9D">
              <w:rPr>
                <w:noProof/>
                <w:webHidden/>
              </w:rPr>
              <w:fldChar w:fldCharType="end"/>
            </w:r>
          </w:hyperlink>
        </w:p>
        <w:p w:rsidR="002A3A9D" w:rsidRDefault="00836C49">
          <w:pPr>
            <w:pStyle w:val="TDC1"/>
            <w:tabs>
              <w:tab w:val="right" w:leader="dot" w:pos="10456"/>
            </w:tabs>
            <w:rPr>
              <w:rFonts w:eastAsiaTheme="minorEastAsia"/>
              <w:noProof/>
              <w:lang w:val="pt-PT" w:eastAsia="pt-PT"/>
            </w:rPr>
          </w:pPr>
          <w:hyperlink w:anchor="_Toc13130520" w:history="1">
            <w:r w:rsidR="002A3A9D" w:rsidRPr="001B53C6">
              <w:rPr>
                <w:rStyle w:val="Hipervnculo"/>
                <w:noProof/>
                <w:lang w:val="es-AR"/>
              </w:rPr>
              <w:t>3 Actualización del índice de Solr</w:t>
            </w:r>
            <w:r w:rsidR="002A3A9D">
              <w:rPr>
                <w:noProof/>
                <w:webHidden/>
              </w:rPr>
              <w:tab/>
            </w:r>
            <w:r w:rsidR="002A3A9D">
              <w:rPr>
                <w:noProof/>
                <w:webHidden/>
              </w:rPr>
              <w:fldChar w:fldCharType="begin"/>
            </w:r>
            <w:r w:rsidR="002A3A9D">
              <w:rPr>
                <w:noProof/>
                <w:webHidden/>
              </w:rPr>
              <w:instrText xml:space="preserve"> PAGEREF _Toc13130520 \h </w:instrText>
            </w:r>
            <w:r w:rsidR="002A3A9D">
              <w:rPr>
                <w:noProof/>
                <w:webHidden/>
              </w:rPr>
            </w:r>
            <w:r w:rsidR="002A3A9D">
              <w:rPr>
                <w:noProof/>
                <w:webHidden/>
              </w:rPr>
              <w:fldChar w:fldCharType="separate"/>
            </w:r>
            <w:r w:rsidR="002A3A9D">
              <w:rPr>
                <w:noProof/>
                <w:webHidden/>
              </w:rPr>
              <w:t>5</w:t>
            </w:r>
            <w:r w:rsidR="002A3A9D">
              <w:rPr>
                <w:noProof/>
                <w:webHidden/>
              </w:rPr>
              <w:fldChar w:fldCharType="end"/>
            </w:r>
          </w:hyperlink>
        </w:p>
        <w:p w:rsidR="002A3A9D" w:rsidRDefault="00836C49">
          <w:pPr>
            <w:pStyle w:val="TDC1"/>
            <w:tabs>
              <w:tab w:val="right" w:leader="dot" w:pos="10456"/>
            </w:tabs>
            <w:rPr>
              <w:rFonts w:eastAsiaTheme="minorEastAsia"/>
              <w:noProof/>
              <w:lang w:val="pt-PT" w:eastAsia="pt-PT"/>
            </w:rPr>
          </w:pPr>
          <w:hyperlink w:anchor="_Toc13130521" w:history="1">
            <w:r w:rsidR="002A3A9D" w:rsidRPr="001B53C6">
              <w:rPr>
                <w:rStyle w:val="Hipervnculo"/>
                <w:noProof/>
                <w:lang w:val="es-AR"/>
              </w:rPr>
              <w:t>4 Dataload de datos de configuración</w:t>
            </w:r>
            <w:r w:rsidR="002A3A9D">
              <w:rPr>
                <w:noProof/>
                <w:webHidden/>
              </w:rPr>
              <w:tab/>
            </w:r>
            <w:r w:rsidR="002A3A9D">
              <w:rPr>
                <w:noProof/>
                <w:webHidden/>
              </w:rPr>
              <w:fldChar w:fldCharType="begin"/>
            </w:r>
            <w:r w:rsidR="002A3A9D">
              <w:rPr>
                <w:noProof/>
                <w:webHidden/>
              </w:rPr>
              <w:instrText xml:space="preserve"> PAGEREF _Toc13130521 \h </w:instrText>
            </w:r>
            <w:r w:rsidR="002A3A9D">
              <w:rPr>
                <w:noProof/>
                <w:webHidden/>
              </w:rPr>
            </w:r>
            <w:r w:rsidR="002A3A9D">
              <w:rPr>
                <w:noProof/>
                <w:webHidden/>
              </w:rPr>
              <w:fldChar w:fldCharType="separate"/>
            </w:r>
            <w:r w:rsidR="002A3A9D">
              <w:rPr>
                <w:noProof/>
                <w:webHidden/>
              </w:rPr>
              <w:t>5</w:t>
            </w:r>
            <w:r w:rsidR="002A3A9D">
              <w:rPr>
                <w:noProof/>
                <w:webHidden/>
              </w:rPr>
              <w:fldChar w:fldCharType="end"/>
            </w:r>
          </w:hyperlink>
        </w:p>
        <w:p w:rsidR="002A3A9D" w:rsidRDefault="00836C49">
          <w:pPr>
            <w:pStyle w:val="TDC2"/>
            <w:tabs>
              <w:tab w:val="right" w:leader="dot" w:pos="10456"/>
            </w:tabs>
            <w:rPr>
              <w:rFonts w:eastAsiaTheme="minorEastAsia"/>
              <w:noProof/>
              <w:lang w:val="pt-PT" w:eastAsia="pt-PT"/>
            </w:rPr>
          </w:pPr>
          <w:hyperlink w:anchor="_Toc13130522" w:history="1">
            <w:r w:rsidR="002A3A9D" w:rsidRPr="001B53C6">
              <w:rPr>
                <w:rStyle w:val="Hipervnculo"/>
                <w:noProof/>
                <w:lang w:val="es-AR"/>
              </w:rPr>
              <w:t>4.1 Dataload de datos de configuración en QASTG</w:t>
            </w:r>
            <w:r w:rsidR="002A3A9D">
              <w:rPr>
                <w:noProof/>
                <w:webHidden/>
              </w:rPr>
              <w:tab/>
            </w:r>
            <w:r w:rsidR="002A3A9D">
              <w:rPr>
                <w:noProof/>
                <w:webHidden/>
              </w:rPr>
              <w:fldChar w:fldCharType="begin"/>
            </w:r>
            <w:r w:rsidR="002A3A9D">
              <w:rPr>
                <w:noProof/>
                <w:webHidden/>
              </w:rPr>
              <w:instrText xml:space="preserve"> PAGEREF _Toc13130522 \h </w:instrText>
            </w:r>
            <w:r w:rsidR="002A3A9D">
              <w:rPr>
                <w:noProof/>
                <w:webHidden/>
              </w:rPr>
            </w:r>
            <w:r w:rsidR="002A3A9D">
              <w:rPr>
                <w:noProof/>
                <w:webHidden/>
              </w:rPr>
              <w:fldChar w:fldCharType="separate"/>
            </w:r>
            <w:r w:rsidR="002A3A9D">
              <w:rPr>
                <w:noProof/>
                <w:webHidden/>
              </w:rPr>
              <w:t>5</w:t>
            </w:r>
            <w:r w:rsidR="002A3A9D">
              <w:rPr>
                <w:noProof/>
                <w:webHidden/>
              </w:rPr>
              <w:fldChar w:fldCharType="end"/>
            </w:r>
          </w:hyperlink>
        </w:p>
        <w:p w:rsidR="002A3A9D" w:rsidRDefault="00836C49">
          <w:pPr>
            <w:pStyle w:val="TDC2"/>
            <w:tabs>
              <w:tab w:val="right" w:leader="dot" w:pos="10456"/>
            </w:tabs>
            <w:rPr>
              <w:rFonts w:eastAsiaTheme="minorEastAsia"/>
              <w:noProof/>
              <w:lang w:val="pt-PT" w:eastAsia="pt-PT"/>
            </w:rPr>
          </w:pPr>
          <w:hyperlink w:anchor="_Toc13130523" w:history="1">
            <w:r w:rsidR="002A3A9D" w:rsidRPr="001B53C6">
              <w:rPr>
                <w:rStyle w:val="Hipervnculo"/>
                <w:noProof/>
                <w:lang w:val="es-AR"/>
              </w:rPr>
              <w:t>4.2 Dataload de datos de configuración en QALIVE</w:t>
            </w:r>
            <w:r w:rsidR="002A3A9D">
              <w:rPr>
                <w:noProof/>
                <w:webHidden/>
              </w:rPr>
              <w:tab/>
            </w:r>
            <w:r w:rsidR="002A3A9D">
              <w:rPr>
                <w:noProof/>
                <w:webHidden/>
              </w:rPr>
              <w:fldChar w:fldCharType="begin"/>
            </w:r>
            <w:r w:rsidR="002A3A9D">
              <w:rPr>
                <w:noProof/>
                <w:webHidden/>
              </w:rPr>
              <w:instrText xml:space="preserve"> PAGEREF _Toc13130523 \h </w:instrText>
            </w:r>
            <w:r w:rsidR="002A3A9D">
              <w:rPr>
                <w:noProof/>
                <w:webHidden/>
              </w:rPr>
            </w:r>
            <w:r w:rsidR="002A3A9D">
              <w:rPr>
                <w:noProof/>
                <w:webHidden/>
              </w:rPr>
              <w:fldChar w:fldCharType="separate"/>
            </w:r>
            <w:r w:rsidR="002A3A9D">
              <w:rPr>
                <w:noProof/>
                <w:webHidden/>
              </w:rPr>
              <w:t>5</w:t>
            </w:r>
            <w:r w:rsidR="002A3A9D">
              <w:rPr>
                <w:noProof/>
                <w:webHidden/>
              </w:rPr>
              <w:fldChar w:fldCharType="end"/>
            </w:r>
          </w:hyperlink>
        </w:p>
        <w:p w:rsidR="002A3A9D" w:rsidRDefault="00836C49">
          <w:pPr>
            <w:pStyle w:val="TDC1"/>
            <w:tabs>
              <w:tab w:val="right" w:leader="dot" w:pos="10456"/>
            </w:tabs>
            <w:rPr>
              <w:rFonts w:eastAsiaTheme="minorEastAsia"/>
              <w:noProof/>
              <w:lang w:val="pt-PT" w:eastAsia="pt-PT"/>
            </w:rPr>
          </w:pPr>
          <w:hyperlink w:anchor="_Toc13130524" w:history="1">
            <w:r w:rsidR="002A3A9D" w:rsidRPr="001B53C6">
              <w:rPr>
                <w:rStyle w:val="Hipervnculo"/>
                <w:noProof/>
                <w:lang w:val="es-AR"/>
              </w:rPr>
              <w:t>5 Actualización de contenido estático</w:t>
            </w:r>
            <w:r w:rsidR="002A3A9D">
              <w:rPr>
                <w:noProof/>
                <w:webHidden/>
              </w:rPr>
              <w:tab/>
            </w:r>
            <w:r w:rsidR="002A3A9D">
              <w:rPr>
                <w:noProof/>
                <w:webHidden/>
              </w:rPr>
              <w:fldChar w:fldCharType="begin"/>
            </w:r>
            <w:r w:rsidR="002A3A9D">
              <w:rPr>
                <w:noProof/>
                <w:webHidden/>
              </w:rPr>
              <w:instrText xml:space="preserve"> PAGEREF _Toc13130524 \h </w:instrText>
            </w:r>
            <w:r w:rsidR="002A3A9D">
              <w:rPr>
                <w:noProof/>
                <w:webHidden/>
              </w:rPr>
            </w:r>
            <w:r w:rsidR="002A3A9D">
              <w:rPr>
                <w:noProof/>
                <w:webHidden/>
              </w:rPr>
              <w:fldChar w:fldCharType="separate"/>
            </w:r>
            <w:r w:rsidR="002A3A9D">
              <w:rPr>
                <w:noProof/>
                <w:webHidden/>
              </w:rPr>
              <w:t>5</w:t>
            </w:r>
            <w:r w:rsidR="002A3A9D">
              <w:rPr>
                <w:noProof/>
                <w:webHidden/>
              </w:rPr>
              <w:fldChar w:fldCharType="end"/>
            </w:r>
          </w:hyperlink>
        </w:p>
        <w:p w:rsidR="00311072" w:rsidRDefault="0062682A" w:rsidP="00311072">
          <w:r w:rsidRPr="00453E15">
            <w:rPr>
              <w:b/>
              <w:bCs/>
              <w:sz w:val="20"/>
              <w:szCs w:val="20"/>
            </w:rPr>
            <w:fldChar w:fldCharType="end"/>
          </w:r>
        </w:p>
      </w:sdtContent>
    </w:sdt>
    <w:p w:rsidR="00985338" w:rsidRPr="009D6318" w:rsidRDefault="00337CC3" w:rsidP="00453E15">
      <w:pPr>
        <w:pStyle w:val="Ttulo1"/>
      </w:pPr>
      <w:r>
        <w:br w:type="page"/>
      </w:r>
      <w:bookmarkStart w:id="0" w:name="_Toc13130510"/>
      <w:r w:rsidR="0068478B">
        <w:lastRenderedPageBreak/>
        <w:t>Introducción</w:t>
      </w:r>
      <w:bookmarkEnd w:id="0"/>
    </w:p>
    <w:p w:rsidR="00C877DC" w:rsidRDefault="00C877DC" w:rsidP="0068478B">
      <w:pPr>
        <w:rPr>
          <w:lang w:val="es-AR"/>
        </w:rPr>
      </w:pPr>
    </w:p>
    <w:p w:rsidR="00AA34D2" w:rsidRDefault="00C877DC" w:rsidP="0068478B">
      <w:pPr>
        <w:rPr>
          <w:lang w:val="es-AR"/>
        </w:rPr>
      </w:pPr>
      <w:r>
        <w:rPr>
          <w:lang w:val="es-AR"/>
        </w:rPr>
        <w:t xml:space="preserve">Este documento detalla los pasos necesarios para la migración full de datos y contenido desde el ambiente PROD al ambiente QA. Al migrar la DB es necesario tener en cuenta algunos aspectos adicionales como son los datos de configuración especídificos del ambiente, la reindexación de Solr y el contenido estático que se tiene que correlacionar con los datos de la DB. </w:t>
      </w:r>
    </w:p>
    <w:p w:rsidR="00AA34D2" w:rsidRDefault="00AA34D2" w:rsidP="0068478B">
      <w:pPr>
        <w:rPr>
          <w:lang w:val="es-AR"/>
        </w:rPr>
      </w:pPr>
      <w:r>
        <w:rPr>
          <w:lang w:val="es-AR"/>
        </w:rPr>
        <w:t>Es importante aclarar que la migración se debe realizar desde la DB de PRODLIVE hacia las DB de QASTG y QALIVE.</w:t>
      </w:r>
    </w:p>
    <w:p w:rsidR="00AA34D2" w:rsidRDefault="00AA34D2" w:rsidP="0068478B">
      <w:pPr>
        <w:rPr>
          <w:lang w:val="es-AR"/>
        </w:rPr>
      </w:pPr>
      <w:r>
        <w:rPr>
          <w:lang w:val="es-AR"/>
        </w:rPr>
        <w:t>Otra aclaración importante es que al migrarse todos los datos los usuarios administradores de QA desaparecerán y quedarán los usuarios administradores de PROD.</w:t>
      </w:r>
    </w:p>
    <w:p w:rsidR="00847EC7" w:rsidRDefault="00C877DC" w:rsidP="0068478B">
      <w:pPr>
        <w:rPr>
          <w:lang w:val="es-AR"/>
        </w:rPr>
      </w:pPr>
      <w:r>
        <w:rPr>
          <w:lang w:val="es-AR"/>
        </w:rPr>
        <w:t>En las secciones siguientes de detallan los pasos para realizar la migración completa teniendo en cuenta estos aspectos.</w:t>
      </w:r>
    </w:p>
    <w:p w:rsidR="00B1422E" w:rsidRDefault="00B1422E">
      <w:pPr>
        <w:rPr>
          <w:lang w:val="es-AR"/>
        </w:rPr>
      </w:pPr>
      <w:r>
        <w:rPr>
          <w:lang w:val="es-AR"/>
        </w:rPr>
        <w:br w:type="page"/>
      </w:r>
    </w:p>
    <w:p w:rsidR="0068478B" w:rsidRDefault="00C877DC" w:rsidP="0068478B">
      <w:pPr>
        <w:pStyle w:val="Ttulo1"/>
        <w:rPr>
          <w:lang w:val="es-AR"/>
        </w:rPr>
      </w:pPr>
      <w:bookmarkStart w:id="1" w:name="_Toc13130511"/>
      <w:r>
        <w:rPr>
          <w:lang w:val="es-AR"/>
        </w:rPr>
        <w:lastRenderedPageBreak/>
        <w:t>Migración de la DB</w:t>
      </w:r>
      <w:bookmarkEnd w:id="1"/>
      <w:r w:rsidR="0068478B" w:rsidRPr="004F04BC">
        <w:rPr>
          <w:lang w:val="es-AR"/>
        </w:rPr>
        <w:t xml:space="preserve"> </w:t>
      </w:r>
    </w:p>
    <w:p w:rsidR="00AD25CA" w:rsidRDefault="00AA34D2" w:rsidP="00AD25CA">
      <w:pPr>
        <w:pStyle w:val="Ttulo2"/>
        <w:rPr>
          <w:lang w:val="es-AR"/>
        </w:rPr>
      </w:pPr>
      <w:bookmarkStart w:id="2" w:name="_Toc13130512"/>
      <w:r>
        <w:rPr>
          <w:lang w:val="es-AR"/>
        </w:rPr>
        <w:t>Stop de los servicios wcs</w:t>
      </w:r>
      <w:bookmarkEnd w:id="2"/>
    </w:p>
    <w:p w:rsidR="00AD25CA" w:rsidRDefault="00AA34D2" w:rsidP="00AD25CA">
      <w:pPr>
        <w:rPr>
          <w:lang w:val="es-AR"/>
        </w:rPr>
      </w:pPr>
      <w:r>
        <w:rPr>
          <w:lang w:val="es-AR"/>
        </w:rPr>
        <w:t>Antes de actualizar las DB es conveniente parar los servicios wcs corriendo en los servidores buey y adeliaX. Para ello ejecutar el script /app/scripts/stopWCServer.sh en cada uno de los servidores.</w:t>
      </w:r>
    </w:p>
    <w:p w:rsidR="00AD25CA" w:rsidRDefault="00AA34D2" w:rsidP="00F86E89">
      <w:pPr>
        <w:pStyle w:val="Ttulo2"/>
        <w:rPr>
          <w:lang w:val="es-AR"/>
        </w:rPr>
      </w:pPr>
      <w:bookmarkStart w:id="3" w:name="_Toc13130513"/>
      <w:r>
        <w:rPr>
          <w:lang w:val="es-AR"/>
        </w:rPr>
        <w:t>Backup de las tablas de datos de configuración</w:t>
      </w:r>
      <w:bookmarkEnd w:id="3"/>
    </w:p>
    <w:p w:rsidR="00504209" w:rsidRDefault="00AA34D2" w:rsidP="00504209">
      <w:pPr>
        <w:rPr>
          <w:lang w:val="es-AR"/>
        </w:rPr>
      </w:pPr>
      <w:r>
        <w:rPr>
          <w:lang w:val="es-AR"/>
        </w:rPr>
        <w:t>Antes de pisar las tablas de datos de configuración es necesario hacer un Backup de las mismas para restaurarlas luego de la migración</w:t>
      </w:r>
      <w:r w:rsidR="00AD25CA">
        <w:rPr>
          <w:lang w:val="es-AR"/>
        </w:rPr>
        <w:t>.</w:t>
      </w:r>
      <w:r>
        <w:rPr>
          <w:lang w:val="es-AR"/>
        </w:rPr>
        <w:t xml:space="preserve"> </w:t>
      </w:r>
    </w:p>
    <w:p w:rsidR="00504209" w:rsidRDefault="00504209" w:rsidP="00504209">
      <w:pPr>
        <w:rPr>
          <w:lang w:val="es-AR"/>
        </w:rPr>
      </w:pPr>
      <w:r>
        <w:rPr>
          <w:lang w:val="es-AR"/>
        </w:rPr>
        <w:t>Las siguientes listas enumeran las tablas que se deben incluir en el Backup de la DB de cada ambiente:</w:t>
      </w:r>
    </w:p>
    <w:p w:rsidR="00504209" w:rsidRDefault="00504209" w:rsidP="00504209">
      <w:pPr>
        <w:pStyle w:val="Ttulo3"/>
        <w:rPr>
          <w:lang w:val="es-AR"/>
        </w:rPr>
      </w:pPr>
      <w:bookmarkStart w:id="4" w:name="_Toc13130514"/>
      <w:r>
        <w:rPr>
          <w:lang w:val="es-AR"/>
        </w:rPr>
        <w:t>Backup tablas ambiente QASTAGE</w:t>
      </w:r>
      <w:bookmarkEnd w:id="4"/>
    </w:p>
    <w:p w:rsidR="00504209" w:rsidRDefault="00504209" w:rsidP="00504209">
      <w:pPr>
        <w:pStyle w:val="Prrafodelista"/>
        <w:numPr>
          <w:ilvl w:val="0"/>
          <w:numId w:val="17"/>
        </w:numPr>
        <w:rPr>
          <w:lang w:val="en-US"/>
        </w:rPr>
      </w:pPr>
      <w:r w:rsidRPr="00AA34D2">
        <w:rPr>
          <w:lang w:val="en-US"/>
        </w:rPr>
        <w:t>SRCHCONF</w:t>
      </w:r>
    </w:p>
    <w:p w:rsidR="00504209" w:rsidRPr="00504209" w:rsidRDefault="00504209" w:rsidP="00504209">
      <w:pPr>
        <w:pStyle w:val="Prrafodelista"/>
        <w:numPr>
          <w:ilvl w:val="0"/>
          <w:numId w:val="17"/>
        </w:numPr>
        <w:rPr>
          <w:lang w:val="en-US"/>
        </w:rPr>
      </w:pPr>
      <w:r w:rsidRPr="00AA34D2">
        <w:rPr>
          <w:lang w:val="en-US"/>
        </w:rPr>
        <w:t>SRCHCONF</w:t>
      </w:r>
      <w:r>
        <w:rPr>
          <w:lang w:val="en-US"/>
        </w:rPr>
        <w:t>EXT</w:t>
      </w:r>
    </w:p>
    <w:p w:rsidR="00504209" w:rsidRDefault="00504209" w:rsidP="00504209">
      <w:pPr>
        <w:pStyle w:val="Ttulo3"/>
        <w:rPr>
          <w:lang w:val="es-AR"/>
        </w:rPr>
      </w:pPr>
      <w:bookmarkStart w:id="5" w:name="_Toc13130515"/>
      <w:r>
        <w:rPr>
          <w:lang w:val="es-AR"/>
        </w:rPr>
        <w:t>Backup tablas ambiente QALIVE</w:t>
      </w:r>
      <w:bookmarkEnd w:id="5"/>
    </w:p>
    <w:p w:rsidR="00AA34D2" w:rsidRDefault="00AA34D2" w:rsidP="00AA34D2">
      <w:pPr>
        <w:pStyle w:val="Prrafodelista"/>
        <w:numPr>
          <w:ilvl w:val="0"/>
          <w:numId w:val="17"/>
        </w:numPr>
        <w:rPr>
          <w:lang w:val="en-US"/>
        </w:rPr>
      </w:pPr>
      <w:r w:rsidRPr="00AA34D2">
        <w:rPr>
          <w:lang w:val="en-US"/>
        </w:rPr>
        <w:t>SIB000</w:t>
      </w:r>
    </w:p>
    <w:p w:rsidR="00AA34D2" w:rsidRDefault="00AA34D2" w:rsidP="00AA34D2">
      <w:pPr>
        <w:pStyle w:val="Prrafodelista"/>
        <w:numPr>
          <w:ilvl w:val="0"/>
          <w:numId w:val="17"/>
        </w:numPr>
        <w:rPr>
          <w:lang w:val="en-US"/>
        </w:rPr>
      </w:pPr>
      <w:r w:rsidRPr="00AA34D2">
        <w:rPr>
          <w:lang w:val="en-US"/>
        </w:rPr>
        <w:t>SIB001</w:t>
      </w:r>
    </w:p>
    <w:p w:rsidR="00AA34D2" w:rsidRDefault="00AA34D2" w:rsidP="00AA34D2">
      <w:pPr>
        <w:pStyle w:val="Prrafodelista"/>
        <w:numPr>
          <w:ilvl w:val="0"/>
          <w:numId w:val="17"/>
        </w:numPr>
        <w:rPr>
          <w:lang w:val="en-US"/>
        </w:rPr>
      </w:pPr>
      <w:r w:rsidRPr="00AA34D2">
        <w:rPr>
          <w:lang w:val="en-US"/>
        </w:rPr>
        <w:t>SIB002</w:t>
      </w:r>
    </w:p>
    <w:p w:rsidR="00AA34D2" w:rsidRDefault="00AA34D2" w:rsidP="00AA34D2">
      <w:pPr>
        <w:pStyle w:val="Prrafodelista"/>
        <w:numPr>
          <w:ilvl w:val="0"/>
          <w:numId w:val="17"/>
        </w:numPr>
        <w:rPr>
          <w:lang w:val="en-US"/>
        </w:rPr>
      </w:pPr>
      <w:r w:rsidRPr="00AA34D2">
        <w:rPr>
          <w:lang w:val="en-US"/>
        </w:rPr>
        <w:t>SIBCLASSMAP</w:t>
      </w:r>
    </w:p>
    <w:p w:rsidR="00AA34D2" w:rsidRDefault="00AA34D2" w:rsidP="00AA34D2">
      <w:pPr>
        <w:pStyle w:val="Prrafodelista"/>
        <w:numPr>
          <w:ilvl w:val="0"/>
          <w:numId w:val="17"/>
        </w:numPr>
        <w:rPr>
          <w:lang w:val="en-US"/>
        </w:rPr>
      </w:pPr>
      <w:r w:rsidRPr="00AA34D2">
        <w:rPr>
          <w:lang w:val="en-US"/>
        </w:rPr>
        <w:t>SIBKEYS</w:t>
      </w:r>
    </w:p>
    <w:p w:rsidR="00AA34D2" w:rsidRDefault="00AA34D2" w:rsidP="00AA34D2">
      <w:pPr>
        <w:pStyle w:val="Prrafodelista"/>
        <w:numPr>
          <w:ilvl w:val="0"/>
          <w:numId w:val="17"/>
        </w:numPr>
        <w:rPr>
          <w:lang w:val="en-US"/>
        </w:rPr>
      </w:pPr>
      <w:r w:rsidRPr="00AA34D2">
        <w:rPr>
          <w:lang w:val="en-US"/>
        </w:rPr>
        <w:t>SIBLISTING</w:t>
      </w:r>
    </w:p>
    <w:p w:rsidR="00AA34D2" w:rsidRPr="00AA34D2" w:rsidRDefault="00AA34D2" w:rsidP="00AA34D2">
      <w:pPr>
        <w:pStyle w:val="Prrafodelista"/>
        <w:numPr>
          <w:ilvl w:val="0"/>
          <w:numId w:val="17"/>
        </w:numPr>
        <w:rPr>
          <w:lang w:val="en-US"/>
        </w:rPr>
      </w:pPr>
      <w:r w:rsidRPr="00AA34D2">
        <w:rPr>
          <w:lang w:val="es-AR"/>
        </w:rPr>
        <w:t>SIBOWNER</w:t>
      </w:r>
    </w:p>
    <w:p w:rsidR="00AA34D2" w:rsidRPr="00AA34D2" w:rsidRDefault="00AA34D2" w:rsidP="00AA34D2">
      <w:pPr>
        <w:pStyle w:val="Prrafodelista"/>
        <w:numPr>
          <w:ilvl w:val="0"/>
          <w:numId w:val="17"/>
        </w:numPr>
        <w:rPr>
          <w:lang w:val="en-US"/>
        </w:rPr>
      </w:pPr>
      <w:r w:rsidRPr="00AA34D2">
        <w:rPr>
          <w:lang w:val="es-AR"/>
        </w:rPr>
        <w:t>SIBOWNERO</w:t>
      </w:r>
    </w:p>
    <w:p w:rsidR="00AA34D2" w:rsidRPr="00AA34D2" w:rsidRDefault="00AA34D2" w:rsidP="00AA34D2">
      <w:pPr>
        <w:pStyle w:val="Prrafodelista"/>
        <w:numPr>
          <w:ilvl w:val="0"/>
          <w:numId w:val="17"/>
        </w:numPr>
        <w:rPr>
          <w:lang w:val="en-US"/>
        </w:rPr>
      </w:pPr>
      <w:r w:rsidRPr="00AA34D2">
        <w:rPr>
          <w:lang w:val="es-AR"/>
        </w:rPr>
        <w:t>SIBXACTS</w:t>
      </w:r>
    </w:p>
    <w:p w:rsidR="00AA34D2" w:rsidRDefault="00AA34D2" w:rsidP="00AA34D2">
      <w:pPr>
        <w:pStyle w:val="Prrafodelista"/>
        <w:numPr>
          <w:ilvl w:val="0"/>
          <w:numId w:val="17"/>
        </w:numPr>
        <w:rPr>
          <w:lang w:val="en-US"/>
        </w:rPr>
      </w:pPr>
      <w:r w:rsidRPr="00AA34D2">
        <w:rPr>
          <w:lang w:val="en-US"/>
        </w:rPr>
        <w:t>SRCHCONF</w:t>
      </w:r>
    </w:p>
    <w:p w:rsidR="00F86E89" w:rsidRPr="00F86E89" w:rsidRDefault="00AA34D2" w:rsidP="00F86E89">
      <w:pPr>
        <w:pStyle w:val="Prrafodelista"/>
        <w:numPr>
          <w:ilvl w:val="0"/>
          <w:numId w:val="17"/>
        </w:numPr>
        <w:rPr>
          <w:lang w:val="en-US"/>
        </w:rPr>
      </w:pPr>
      <w:r w:rsidRPr="00AA34D2">
        <w:rPr>
          <w:lang w:val="en-US"/>
        </w:rPr>
        <w:t>SRCHCONF</w:t>
      </w:r>
      <w:r>
        <w:rPr>
          <w:lang w:val="en-US"/>
        </w:rPr>
        <w:t>EXT</w:t>
      </w:r>
    </w:p>
    <w:p w:rsidR="00AA34D2" w:rsidRDefault="00AA34D2" w:rsidP="00AD25CA">
      <w:pPr>
        <w:rPr>
          <w:lang w:val="es-AR"/>
        </w:rPr>
      </w:pPr>
      <w:r>
        <w:rPr>
          <w:lang w:val="es-AR"/>
        </w:rPr>
        <w:t xml:space="preserve">Estas tablas presentan la ventaja de tener poco volúmen de datos por lo que el Backup es simple, se podría realizar </w:t>
      </w:r>
      <w:r w:rsidR="003C2B94">
        <w:rPr>
          <w:lang w:val="es-AR"/>
        </w:rPr>
        <w:t>el Backup de cada tabla con una query como la siguiente:</w:t>
      </w:r>
    </w:p>
    <w:p w:rsidR="003C2B94" w:rsidRPr="00F86E89" w:rsidRDefault="003C2B94" w:rsidP="00F86E89">
      <w:pPr>
        <w:pStyle w:val="Prrafodelista"/>
        <w:numPr>
          <w:ilvl w:val="0"/>
          <w:numId w:val="19"/>
        </w:numPr>
        <w:rPr>
          <w:lang w:val="en-US"/>
        </w:rPr>
      </w:pPr>
      <w:r w:rsidRPr="003C2B94">
        <w:rPr>
          <w:lang w:val="en-US"/>
        </w:rPr>
        <w:t>create table bkp_</w:t>
      </w:r>
      <w:r w:rsidR="00F86E89" w:rsidRPr="00F86E89">
        <w:rPr>
          <w:lang w:val="en-US"/>
        </w:rPr>
        <w:t xml:space="preserve"> </w:t>
      </w:r>
      <w:r w:rsidR="00F86E89" w:rsidRPr="00AA34D2">
        <w:rPr>
          <w:lang w:val="en-US"/>
        </w:rPr>
        <w:t>SRCHCONF</w:t>
      </w:r>
      <w:r w:rsidR="00F86E89">
        <w:rPr>
          <w:lang w:val="en-US"/>
        </w:rPr>
        <w:t xml:space="preserve"> </w:t>
      </w:r>
      <w:r w:rsidRPr="00F86E89">
        <w:rPr>
          <w:lang w:val="en-US"/>
        </w:rPr>
        <w:t xml:space="preserve"> as (select * from </w:t>
      </w:r>
      <w:r w:rsidR="00F86E89" w:rsidRPr="00AA34D2">
        <w:rPr>
          <w:lang w:val="en-US"/>
        </w:rPr>
        <w:t>SRCHCONF</w:t>
      </w:r>
      <w:r w:rsidRPr="00F86E89">
        <w:rPr>
          <w:lang w:val="en-US"/>
        </w:rPr>
        <w:t>)</w:t>
      </w:r>
    </w:p>
    <w:p w:rsidR="00FE682C" w:rsidRDefault="00F86E89" w:rsidP="00FE682C">
      <w:pPr>
        <w:pStyle w:val="Ttulo2"/>
        <w:rPr>
          <w:lang w:val="es-AR"/>
        </w:rPr>
      </w:pPr>
      <w:bookmarkStart w:id="6" w:name="_Toc13130516"/>
      <w:r>
        <w:rPr>
          <w:lang w:val="es-AR"/>
        </w:rPr>
        <w:t>Migración de los datos</w:t>
      </w:r>
      <w:bookmarkEnd w:id="6"/>
    </w:p>
    <w:p w:rsidR="00D01B65" w:rsidRDefault="00F86E89" w:rsidP="00EF2A7A">
      <w:pPr>
        <w:rPr>
          <w:lang w:val="es-AR"/>
        </w:rPr>
      </w:pPr>
      <w:r>
        <w:rPr>
          <w:lang w:val="es-AR"/>
        </w:rPr>
        <w:t>Una vez parados los servic</w:t>
      </w:r>
      <w:r w:rsidR="00504209">
        <w:rPr>
          <w:lang w:val="es-AR"/>
        </w:rPr>
        <w:t>ios wcs en STAGE y LIVE y realizado el Backup de datos de las tablas de configuración se puede proceder a pisar todas las tablas del esquema COMMERCE. Esto lo realizará el DBA de la forma que lo crea conveniente.</w:t>
      </w:r>
      <w:r w:rsidR="00BF4049">
        <w:rPr>
          <w:lang w:val="es-AR"/>
        </w:rPr>
        <w:t xml:space="preserve"> Recordar que se deben importar las tablas de las DB de QASTG y QALIVE.</w:t>
      </w:r>
    </w:p>
    <w:p w:rsidR="00504209" w:rsidRDefault="00504209" w:rsidP="00504209">
      <w:pPr>
        <w:pStyle w:val="Ttulo2"/>
        <w:rPr>
          <w:lang w:val="es-AR"/>
        </w:rPr>
      </w:pPr>
      <w:bookmarkStart w:id="7" w:name="_Toc13130517"/>
      <w:r>
        <w:rPr>
          <w:lang w:val="es-AR"/>
        </w:rPr>
        <w:t>Restore</w:t>
      </w:r>
      <w:r w:rsidR="009A45E8">
        <w:rPr>
          <w:lang w:val="es-AR"/>
        </w:rPr>
        <w:t xml:space="preserve"> de datos de configuración</w:t>
      </w:r>
      <w:bookmarkEnd w:id="7"/>
    </w:p>
    <w:p w:rsidR="00504209" w:rsidRDefault="002B3558" w:rsidP="00504209">
      <w:pPr>
        <w:rPr>
          <w:lang w:val="es-AR"/>
        </w:rPr>
      </w:pPr>
      <w:r>
        <w:rPr>
          <w:lang w:val="es-AR"/>
        </w:rPr>
        <w:t>L</w:t>
      </w:r>
      <w:r w:rsidR="00504209">
        <w:rPr>
          <w:lang w:val="es-AR"/>
        </w:rPr>
        <w:t>uego de la migración de datos es necesario realizar el restore de los datos en las tablas incluídas en el Backup realizado en el punto 2.1.</w:t>
      </w:r>
    </w:p>
    <w:p w:rsidR="00BF4049" w:rsidRDefault="00BF4049" w:rsidP="00BF4049">
      <w:pPr>
        <w:pStyle w:val="Ttulo2"/>
        <w:rPr>
          <w:lang w:val="es-AR"/>
        </w:rPr>
      </w:pPr>
      <w:bookmarkStart w:id="8" w:name="_Toc13130518"/>
      <w:r>
        <w:rPr>
          <w:lang w:val="es-AR"/>
        </w:rPr>
        <w:t xml:space="preserve">Blanqueo de la tabla </w:t>
      </w:r>
      <w:r w:rsidR="00157ED4">
        <w:rPr>
          <w:lang w:val="es-AR"/>
        </w:rPr>
        <w:t>maestra de propagación</w:t>
      </w:r>
      <w:bookmarkEnd w:id="8"/>
    </w:p>
    <w:p w:rsidR="00BF4049" w:rsidRDefault="00BF4049" w:rsidP="00504209">
      <w:pPr>
        <w:rPr>
          <w:lang w:val="es-AR"/>
        </w:rPr>
      </w:pPr>
      <w:r>
        <w:rPr>
          <w:lang w:val="es-AR"/>
        </w:rPr>
        <w:t>Luego de la importación de datos, es necesario eliminar los registros  de tabla master de propagación, esta es la tabla staglog. Para ello se debe ejecutar el delete de todos los registros de esta tabla en la DB de STAGE:</w:t>
      </w:r>
    </w:p>
    <w:p w:rsidR="00BF4049" w:rsidRPr="00BF4049" w:rsidRDefault="00BF4049" w:rsidP="00BF4049">
      <w:pPr>
        <w:pStyle w:val="Prrafodelista"/>
        <w:numPr>
          <w:ilvl w:val="0"/>
          <w:numId w:val="19"/>
        </w:numPr>
        <w:rPr>
          <w:lang w:val="es-AR"/>
        </w:rPr>
      </w:pPr>
      <w:r>
        <w:rPr>
          <w:lang w:val="es-AR"/>
        </w:rPr>
        <w:t>delete from staglog;</w:t>
      </w:r>
    </w:p>
    <w:p w:rsidR="002B3558" w:rsidRDefault="002B3558" w:rsidP="002B3558">
      <w:pPr>
        <w:pStyle w:val="Ttulo2"/>
        <w:rPr>
          <w:lang w:val="es-AR"/>
        </w:rPr>
      </w:pPr>
      <w:bookmarkStart w:id="9" w:name="_Toc13130519"/>
      <w:r>
        <w:rPr>
          <w:lang w:val="es-AR"/>
        </w:rPr>
        <w:lastRenderedPageBreak/>
        <w:t>Reinicio de los servicios wcs</w:t>
      </w:r>
      <w:bookmarkEnd w:id="9"/>
    </w:p>
    <w:p w:rsidR="002B3558" w:rsidRPr="002B3558" w:rsidRDefault="002B3558" w:rsidP="002B3558">
      <w:pPr>
        <w:rPr>
          <w:lang w:val="es-AR"/>
        </w:rPr>
      </w:pPr>
      <w:r>
        <w:rPr>
          <w:lang w:val="es-AR"/>
        </w:rPr>
        <w:t>Finalmente se deben reiniciar los servicios wcs de los ambientes QASTG y QALIVE. Para ello ejecutar en cada servidor buey, adeliaX el script /app/scripts/startWCServer.sh</w:t>
      </w:r>
    </w:p>
    <w:p w:rsidR="002B3558" w:rsidRDefault="002B3558" w:rsidP="002B3558">
      <w:pPr>
        <w:pStyle w:val="Ttulo1"/>
        <w:rPr>
          <w:lang w:val="es-AR"/>
        </w:rPr>
      </w:pPr>
      <w:bookmarkStart w:id="10" w:name="_Toc13130520"/>
      <w:r>
        <w:rPr>
          <w:lang w:val="es-AR"/>
        </w:rPr>
        <w:t>Actualización del índice de Solr</w:t>
      </w:r>
      <w:bookmarkEnd w:id="10"/>
    </w:p>
    <w:p w:rsidR="002B3558" w:rsidRDefault="002B3558" w:rsidP="002B3558">
      <w:pPr>
        <w:rPr>
          <w:lang w:val="es-AR"/>
        </w:rPr>
      </w:pPr>
      <w:r>
        <w:rPr>
          <w:lang w:val="es-AR"/>
        </w:rPr>
        <w:t>Al realizar la importación de los datos el índice de Solr queda inconsistente respecto de los nuevos datos de la DB por lo que es necesario regenerar el índice. Para realizar este paso se requiere ejecutar el siguiente script en el servidor claik (QASTG):</w:t>
      </w:r>
    </w:p>
    <w:p w:rsidR="002B3558" w:rsidRDefault="002B3558" w:rsidP="002B3558">
      <w:pPr>
        <w:pStyle w:val="Prrafodelista"/>
        <w:numPr>
          <w:ilvl w:val="0"/>
          <w:numId w:val="19"/>
        </w:numPr>
        <w:rPr>
          <w:lang w:val="en-US"/>
        </w:rPr>
      </w:pPr>
      <w:r>
        <w:rPr>
          <w:lang w:val="en-US"/>
        </w:rPr>
        <w:t xml:space="preserve">cd </w:t>
      </w:r>
      <w:r w:rsidRPr="002B3558">
        <w:rPr>
          <w:lang w:val="en-US"/>
        </w:rPr>
        <w:t>/opt/IBM/WebSphere/CommerceServer70/wcbd/scripts</w:t>
      </w:r>
    </w:p>
    <w:p w:rsidR="002B3558" w:rsidRDefault="002B3558" w:rsidP="002B3558">
      <w:pPr>
        <w:pStyle w:val="Prrafodelista"/>
        <w:numPr>
          <w:ilvl w:val="0"/>
          <w:numId w:val="19"/>
        </w:numPr>
        <w:rPr>
          <w:lang w:val="en-US"/>
        </w:rPr>
      </w:pPr>
      <w:r>
        <w:rPr>
          <w:lang w:val="en-US"/>
        </w:rPr>
        <w:t>./local_reindexSolr.sh qastg</w:t>
      </w:r>
    </w:p>
    <w:p w:rsidR="00B15308" w:rsidRDefault="00B15308" w:rsidP="00B15308">
      <w:pPr>
        <w:pStyle w:val="Ttulo1"/>
        <w:rPr>
          <w:lang w:val="es-AR"/>
        </w:rPr>
      </w:pPr>
      <w:bookmarkStart w:id="11" w:name="_Toc13130521"/>
      <w:r>
        <w:rPr>
          <w:lang w:val="es-AR"/>
        </w:rPr>
        <w:t>Dataload de datos de configuración</w:t>
      </w:r>
      <w:bookmarkEnd w:id="11"/>
    </w:p>
    <w:p w:rsidR="00B15308" w:rsidRDefault="00B15308" w:rsidP="00B15308">
      <w:pPr>
        <w:rPr>
          <w:lang w:val="es-AR"/>
        </w:rPr>
      </w:pPr>
      <w:r>
        <w:rPr>
          <w:lang w:val="es-AR"/>
        </w:rPr>
        <w:t>Llegado a este punto se debe ejecutar un dataload encargado de resetear varios datos de configuración de la aplicación relacionados con el ambiente.  Estos se deben ejecutar en STAGE y LIVE con los siguientes pasos:</w:t>
      </w:r>
    </w:p>
    <w:p w:rsidR="00B15308" w:rsidRDefault="00B15308" w:rsidP="00B15308">
      <w:pPr>
        <w:pStyle w:val="Ttulo2"/>
        <w:rPr>
          <w:lang w:val="es-AR"/>
        </w:rPr>
      </w:pPr>
      <w:bookmarkStart w:id="12" w:name="_Toc13130522"/>
      <w:r>
        <w:rPr>
          <w:lang w:val="es-AR"/>
        </w:rPr>
        <w:t>Dataload de datos de configuración en QASTG</w:t>
      </w:r>
      <w:bookmarkEnd w:id="12"/>
    </w:p>
    <w:p w:rsidR="00B15308" w:rsidRDefault="00B15308" w:rsidP="00B15308">
      <w:pPr>
        <w:pStyle w:val="Prrafodelista"/>
        <w:numPr>
          <w:ilvl w:val="0"/>
          <w:numId w:val="17"/>
        </w:numPr>
        <w:rPr>
          <w:lang w:val="es-AR"/>
        </w:rPr>
      </w:pPr>
      <w:r>
        <w:rPr>
          <w:lang w:val="es-AR"/>
        </w:rPr>
        <w:t>Accceder al servidor claik con el wasuser</w:t>
      </w:r>
    </w:p>
    <w:p w:rsidR="00B15308" w:rsidRDefault="00B15308" w:rsidP="00B15308">
      <w:pPr>
        <w:pStyle w:val="Prrafodelista"/>
        <w:numPr>
          <w:ilvl w:val="0"/>
          <w:numId w:val="17"/>
        </w:numPr>
        <w:rPr>
          <w:lang w:val="es-AR"/>
        </w:rPr>
      </w:pPr>
      <w:r>
        <w:rPr>
          <w:lang w:val="es-AR"/>
        </w:rPr>
        <w:t>Ejecutar el dataload de configuración local:</w:t>
      </w:r>
    </w:p>
    <w:p w:rsidR="00B15308" w:rsidRDefault="00B15308" w:rsidP="00B15308">
      <w:pPr>
        <w:pStyle w:val="Prrafodelista"/>
        <w:numPr>
          <w:ilvl w:val="0"/>
          <w:numId w:val="19"/>
        </w:numPr>
        <w:rPr>
          <w:lang w:val="en-US"/>
        </w:rPr>
      </w:pPr>
      <w:r>
        <w:rPr>
          <w:lang w:val="en-US"/>
        </w:rPr>
        <w:t xml:space="preserve">Cd </w:t>
      </w:r>
      <w:r w:rsidRPr="002B3558">
        <w:rPr>
          <w:lang w:val="en-US"/>
        </w:rPr>
        <w:t>/opt/IBM/WebSphere/CommerceServer70/wcbd/scripts</w:t>
      </w:r>
    </w:p>
    <w:p w:rsidR="00B15308" w:rsidRDefault="00B15308" w:rsidP="00B15308">
      <w:pPr>
        <w:pStyle w:val="Prrafodelista"/>
        <w:numPr>
          <w:ilvl w:val="0"/>
          <w:numId w:val="19"/>
        </w:numPr>
        <w:rPr>
          <w:lang w:val="en-US"/>
        </w:rPr>
      </w:pPr>
      <w:r>
        <w:rPr>
          <w:lang w:val="en-US"/>
        </w:rPr>
        <w:t>./local_dataload.sh qastg</w:t>
      </w:r>
    </w:p>
    <w:p w:rsidR="00B15308" w:rsidRDefault="00B15308" w:rsidP="00B15308">
      <w:pPr>
        <w:pStyle w:val="Prrafodelista"/>
        <w:numPr>
          <w:ilvl w:val="0"/>
          <w:numId w:val="17"/>
        </w:numPr>
        <w:rPr>
          <w:lang w:val="es-AR"/>
        </w:rPr>
      </w:pPr>
      <w:r>
        <w:rPr>
          <w:lang w:val="es-AR"/>
        </w:rPr>
        <w:t>Ejecutar la propagación a LIVE:</w:t>
      </w:r>
    </w:p>
    <w:p w:rsidR="00B15308" w:rsidRPr="00B15308" w:rsidRDefault="00B15308" w:rsidP="00B15308">
      <w:pPr>
        <w:pStyle w:val="Prrafodelista"/>
        <w:numPr>
          <w:ilvl w:val="0"/>
          <w:numId w:val="19"/>
        </w:numPr>
        <w:rPr>
          <w:lang w:val="es-AR"/>
        </w:rPr>
      </w:pPr>
      <w:r w:rsidRPr="00B15308">
        <w:rPr>
          <w:lang w:val="es-AR"/>
        </w:rPr>
        <w:t>/app/scripts/propDataCron.sh (esto demorará varios minutos)</w:t>
      </w:r>
    </w:p>
    <w:p w:rsidR="00B15308" w:rsidRDefault="00B15308" w:rsidP="00B15308">
      <w:pPr>
        <w:pStyle w:val="Ttulo2"/>
        <w:rPr>
          <w:lang w:val="es-AR"/>
        </w:rPr>
      </w:pPr>
      <w:bookmarkStart w:id="13" w:name="_Toc13130523"/>
      <w:r>
        <w:rPr>
          <w:lang w:val="es-AR"/>
        </w:rPr>
        <w:t>Dataload de datos de configuración en QALIVE</w:t>
      </w:r>
      <w:bookmarkEnd w:id="13"/>
    </w:p>
    <w:p w:rsidR="00B15308" w:rsidRDefault="00B15308" w:rsidP="00B15308">
      <w:pPr>
        <w:pStyle w:val="Prrafodelista"/>
        <w:numPr>
          <w:ilvl w:val="0"/>
          <w:numId w:val="17"/>
        </w:numPr>
        <w:rPr>
          <w:lang w:val="es-AR"/>
        </w:rPr>
      </w:pPr>
      <w:r>
        <w:rPr>
          <w:lang w:val="es-AR"/>
        </w:rPr>
        <w:t>Accceder al servidor adelia1 con el wasuser</w:t>
      </w:r>
    </w:p>
    <w:p w:rsidR="00B15308" w:rsidRDefault="00B15308" w:rsidP="00B15308">
      <w:pPr>
        <w:pStyle w:val="Prrafodelista"/>
        <w:numPr>
          <w:ilvl w:val="0"/>
          <w:numId w:val="17"/>
        </w:numPr>
        <w:rPr>
          <w:lang w:val="es-AR"/>
        </w:rPr>
      </w:pPr>
      <w:r>
        <w:rPr>
          <w:lang w:val="es-AR"/>
        </w:rPr>
        <w:t>Ejecutar el dataload de configuración local:</w:t>
      </w:r>
    </w:p>
    <w:p w:rsidR="00B15308" w:rsidRDefault="00B15308" w:rsidP="00B15308">
      <w:pPr>
        <w:pStyle w:val="Prrafodelista"/>
        <w:numPr>
          <w:ilvl w:val="0"/>
          <w:numId w:val="19"/>
        </w:numPr>
        <w:rPr>
          <w:lang w:val="en-US"/>
        </w:rPr>
      </w:pPr>
      <w:r>
        <w:rPr>
          <w:lang w:val="en-US"/>
        </w:rPr>
        <w:t xml:space="preserve">Cd </w:t>
      </w:r>
      <w:r w:rsidRPr="002B3558">
        <w:rPr>
          <w:lang w:val="en-US"/>
        </w:rPr>
        <w:t>/opt/IBM/WebSphere/CommerceServer70/wcbd/scripts</w:t>
      </w:r>
    </w:p>
    <w:p w:rsidR="00B15308" w:rsidRDefault="00B15308" w:rsidP="00B15308">
      <w:pPr>
        <w:pStyle w:val="Prrafodelista"/>
        <w:numPr>
          <w:ilvl w:val="0"/>
          <w:numId w:val="19"/>
        </w:numPr>
        <w:rPr>
          <w:lang w:val="en-US"/>
        </w:rPr>
      </w:pPr>
      <w:r>
        <w:rPr>
          <w:lang w:val="en-US"/>
        </w:rPr>
        <w:t>./local_dataload.sh qalive</w:t>
      </w:r>
    </w:p>
    <w:p w:rsidR="00BF4049" w:rsidRDefault="00BF4049" w:rsidP="00BF4049">
      <w:pPr>
        <w:pStyle w:val="Ttulo1"/>
        <w:rPr>
          <w:lang w:val="es-AR"/>
        </w:rPr>
      </w:pPr>
      <w:bookmarkStart w:id="14" w:name="_Toc13130524"/>
      <w:r>
        <w:rPr>
          <w:lang w:val="es-AR"/>
        </w:rPr>
        <w:t>Actualización de contenido estático</w:t>
      </w:r>
      <w:bookmarkEnd w:id="14"/>
    </w:p>
    <w:p w:rsidR="002B3558" w:rsidRDefault="00BF4049" w:rsidP="002B3558">
      <w:pPr>
        <w:rPr>
          <w:lang w:val="es-AR"/>
        </w:rPr>
      </w:pPr>
      <w:r>
        <w:rPr>
          <w:lang w:val="es-AR"/>
        </w:rPr>
        <w:t xml:space="preserve">Existe por fuera de la DB una cantidad importante de contenido estático relacionado con las imágenes de productos, banners de promociones, etc. Luego es necesario importar el contenido estático actual de PROD para que todo quede consistente. </w:t>
      </w:r>
      <w:r w:rsidR="00E3737F">
        <w:rPr>
          <w:lang w:val="es-AR"/>
        </w:rPr>
        <w:t xml:space="preserve"> Para esto es posible utilizar un conjunto de scripts ya existentes realizando los siguientes pasos:</w:t>
      </w:r>
    </w:p>
    <w:p w:rsidR="00E3737F" w:rsidRDefault="00E3737F" w:rsidP="00E3737F">
      <w:pPr>
        <w:pStyle w:val="Prrafodelista"/>
        <w:numPr>
          <w:ilvl w:val="0"/>
          <w:numId w:val="17"/>
        </w:numPr>
        <w:rPr>
          <w:lang w:val="es-AR"/>
        </w:rPr>
      </w:pPr>
      <w:r>
        <w:rPr>
          <w:lang w:val="es-AR"/>
        </w:rPr>
        <w:t>Acceder al servidor claik con el usuario wasuser y ejecutar los siguientes comandos:</w:t>
      </w:r>
    </w:p>
    <w:p w:rsidR="00E3737F" w:rsidRDefault="00E3737F" w:rsidP="00E3737F">
      <w:pPr>
        <w:pStyle w:val="Prrafodelista"/>
        <w:numPr>
          <w:ilvl w:val="0"/>
          <w:numId w:val="19"/>
        </w:numPr>
        <w:rPr>
          <w:lang w:val="en-US"/>
        </w:rPr>
      </w:pPr>
      <w:r w:rsidRPr="00E3737F">
        <w:rPr>
          <w:lang w:val="en-US"/>
        </w:rPr>
        <w:t>/app/scripts/importDataAndContentFromProd/ importManContentFromProd.sh</w:t>
      </w:r>
    </w:p>
    <w:p w:rsidR="00E3737F" w:rsidRDefault="00E3737F" w:rsidP="00E3737F">
      <w:pPr>
        <w:pStyle w:val="Prrafodelista"/>
        <w:numPr>
          <w:ilvl w:val="0"/>
          <w:numId w:val="19"/>
        </w:numPr>
        <w:rPr>
          <w:lang w:val="en-US"/>
        </w:rPr>
      </w:pPr>
      <w:r w:rsidRPr="00E3737F">
        <w:rPr>
          <w:lang w:val="en-US"/>
        </w:rPr>
        <w:t>/app/scripts/propStaticContentToIHS.sh</w:t>
      </w:r>
    </w:p>
    <w:p w:rsidR="00E3737F" w:rsidRPr="00E3737F" w:rsidRDefault="00E3737F" w:rsidP="00E3737F">
      <w:pPr>
        <w:pStyle w:val="Prrafodelista"/>
        <w:numPr>
          <w:ilvl w:val="0"/>
          <w:numId w:val="19"/>
        </w:numPr>
        <w:rPr>
          <w:lang w:val="en-US"/>
        </w:rPr>
      </w:pPr>
      <w:r w:rsidRPr="00E3737F">
        <w:rPr>
          <w:lang w:val="en-US"/>
        </w:rPr>
        <w:t>/app/scripts/propStaticContentToLive.sh</w:t>
      </w:r>
    </w:p>
    <w:p w:rsidR="00E3737F" w:rsidRPr="00E3737F" w:rsidRDefault="00E3737F" w:rsidP="002B3558">
      <w:pPr>
        <w:rPr>
          <w:lang w:val="en-US"/>
        </w:rPr>
      </w:pPr>
    </w:p>
    <w:p w:rsidR="002B3558" w:rsidRPr="001C2601" w:rsidRDefault="001C2601" w:rsidP="00504209">
      <w:pPr>
        <w:rPr>
          <w:lang w:val="es-AR"/>
        </w:rPr>
      </w:pPr>
      <w:r w:rsidRPr="001C2601">
        <w:rPr>
          <w:lang w:val="es-AR"/>
        </w:rPr>
        <w:t>Finalizado este paso los ambientes QASTG y QALIVE deber</w:t>
      </w:r>
      <w:r>
        <w:rPr>
          <w:lang w:val="es-AR"/>
        </w:rPr>
        <w:t>ían quedar operativos y listo para utlizarse.</w:t>
      </w:r>
    </w:p>
    <w:sectPr w:rsidR="002B3558" w:rsidRPr="001C2601" w:rsidSect="00037EDE">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340"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C49" w:rsidRDefault="00836C49" w:rsidP="00C32EFC">
      <w:pPr>
        <w:spacing w:after="0" w:line="240" w:lineRule="auto"/>
      </w:pPr>
      <w:r>
        <w:separator/>
      </w:r>
    </w:p>
  </w:endnote>
  <w:endnote w:type="continuationSeparator" w:id="0">
    <w:p w:rsidR="00836C49" w:rsidRDefault="00836C49" w:rsidP="00C3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562" w:rsidRDefault="00C2656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418"/>
    </w:tblGrid>
    <w:tr w:rsidR="00C877DC" w:rsidTr="0085768E">
      <w:tc>
        <w:tcPr>
          <w:tcW w:w="8188" w:type="dxa"/>
        </w:tcPr>
        <w:p w:rsidR="00C877DC" w:rsidRDefault="00C877DC">
          <w:pPr>
            <w:pStyle w:val="Piedepgina"/>
          </w:pPr>
        </w:p>
      </w:tc>
      <w:tc>
        <w:tcPr>
          <w:tcW w:w="2418" w:type="dxa"/>
          <w:shd w:val="clear" w:color="auto" w:fill="000000" w:themeFill="text1"/>
        </w:tcPr>
        <w:p w:rsidR="00C877DC" w:rsidRDefault="00C877DC" w:rsidP="0085768E">
          <w:pPr>
            <w:pStyle w:val="Piedepgina"/>
            <w:jc w:val="right"/>
          </w:pPr>
          <w:r w:rsidRPr="0085768E">
            <w:rPr>
              <w:color w:val="FFFFFF" w:themeColor="background1"/>
              <w:spacing w:val="60"/>
            </w:rPr>
            <w:t>Página</w:t>
          </w:r>
          <w:r w:rsidRPr="0085768E">
            <w:rPr>
              <w:color w:val="FFFFFF" w:themeColor="background1"/>
            </w:rPr>
            <w:t xml:space="preserve"> | </w:t>
          </w:r>
          <w:r w:rsidRPr="0085768E">
            <w:rPr>
              <w:color w:val="FFFFFF" w:themeColor="background1"/>
            </w:rPr>
            <w:fldChar w:fldCharType="begin"/>
          </w:r>
          <w:r w:rsidRPr="0085768E">
            <w:rPr>
              <w:color w:val="FFFFFF" w:themeColor="background1"/>
            </w:rPr>
            <w:instrText>PAGE   \* MERGEFORMAT</w:instrText>
          </w:r>
          <w:r w:rsidRPr="0085768E">
            <w:rPr>
              <w:color w:val="FFFFFF" w:themeColor="background1"/>
            </w:rPr>
            <w:fldChar w:fldCharType="separate"/>
          </w:r>
          <w:r w:rsidR="00C26562" w:rsidRPr="00C26562">
            <w:rPr>
              <w:b/>
              <w:bCs/>
              <w:noProof/>
              <w:color w:val="FFFFFF" w:themeColor="background1"/>
            </w:rPr>
            <w:t>3</w:t>
          </w:r>
          <w:r w:rsidRPr="0085768E">
            <w:rPr>
              <w:b/>
              <w:bCs/>
              <w:color w:val="FFFFFF" w:themeColor="background1"/>
            </w:rPr>
            <w:fldChar w:fldCharType="end"/>
          </w:r>
        </w:p>
      </w:tc>
    </w:tr>
  </w:tbl>
  <w:p w:rsidR="00C877DC" w:rsidRDefault="00C877DC" w:rsidP="0085768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562" w:rsidRDefault="00C265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C49" w:rsidRDefault="00836C49" w:rsidP="00C32EFC">
      <w:pPr>
        <w:spacing w:after="0" w:line="240" w:lineRule="auto"/>
      </w:pPr>
      <w:r>
        <w:separator/>
      </w:r>
    </w:p>
  </w:footnote>
  <w:footnote w:type="continuationSeparator" w:id="0">
    <w:p w:rsidR="00836C49" w:rsidRDefault="00836C49" w:rsidP="00C32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562" w:rsidRDefault="00C2656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881" w:type="dxa"/>
      <w:tblLook w:val="04A0" w:firstRow="1" w:lastRow="0" w:firstColumn="1" w:lastColumn="0" w:noHBand="0" w:noVBand="1"/>
    </w:tblPr>
    <w:tblGrid>
      <w:gridCol w:w="4322"/>
      <w:gridCol w:w="6559"/>
    </w:tblGrid>
    <w:tr w:rsidR="00C877DC" w:rsidRPr="00C26562" w:rsidTr="00E36100">
      <w:trPr>
        <w:trHeight w:val="373"/>
      </w:trPr>
      <w:tc>
        <w:tcPr>
          <w:tcW w:w="4322" w:type="dxa"/>
          <w:vMerge w:val="restart"/>
          <w:tcBorders>
            <w:top w:val="nil"/>
            <w:left w:val="nil"/>
            <w:bottom w:val="nil"/>
            <w:right w:val="nil"/>
          </w:tcBorders>
        </w:tcPr>
        <w:p w:rsidR="00C877DC" w:rsidRDefault="00C877DC">
          <w:pPr>
            <w:pStyle w:val="Encabezado"/>
          </w:pPr>
        </w:p>
      </w:tc>
      <w:sdt>
        <w:sdtPr>
          <w:rPr>
            <w:lang w:val="es-AR"/>
          </w:rPr>
          <w:alias w:val="Título"/>
          <w:tag w:val=""/>
          <w:id w:val="1113867929"/>
          <w:dataBinding w:prefixMappings="xmlns:ns0='http://purl.org/dc/elements/1.1/' xmlns:ns1='http://schemas.openxmlformats.org/package/2006/metadata/core-properties' " w:xpath="/ns1:coreProperties[1]/ns0:title[1]" w:storeItemID="{6C3C8BC8-F283-45AE-878A-BAB7291924A1}"/>
          <w:text/>
        </w:sdtPr>
        <w:sdtEndPr/>
        <w:sdtContent>
          <w:tc>
            <w:tcPr>
              <w:tcW w:w="6559" w:type="dxa"/>
              <w:tcBorders>
                <w:top w:val="nil"/>
                <w:left w:val="nil"/>
                <w:bottom w:val="nil"/>
                <w:right w:val="nil"/>
              </w:tcBorders>
            </w:tcPr>
            <w:p w:rsidR="00C877DC" w:rsidRPr="007B309E" w:rsidRDefault="00C26562" w:rsidP="00C26562">
              <w:pPr>
                <w:pStyle w:val="Encabezado"/>
                <w:jc w:val="right"/>
                <w:rPr>
                  <w:lang w:val="es-AR"/>
                </w:rPr>
              </w:pPr>
              <w:r>
                <w:rPr>
                  <w:lang w:val="es-AR"/>
                </w:rPr>
                <w:t>Procedimiento para instalar y configurar el cliente GIT</w:t>
              </w:r>
            </w:p>
          </w:tc>
        </w:sdtContent>
      </w:sdt>
    </w:tr>
    <w:tr w:rsidR="00C877DC" w:rsidTr="00E36100">
      <w:tc>
        <w:tcPr>
          <w:tcW w:w="4322" w:type="dxa"/>
          <w:vMerge/>
          <w:tcBorders>
            <w:top w:val="nil"/>
            <w:left w:val="nil"/>
            <w:bottom w:val="nil"/>
            <w:right w:val="nil"/>
          </w:tcBorders>
        </w:tcPr>
        <w:p w:rsidR="00C877DC" w:rsidRPr="007B309E" w:rsidRDefault="00C877DC">
          <w:pPr>
            <w:pStyle w:val="Encabezado"/>
            <w:rPr>
              <w:lang w:val="es-AR"/>
            </w:rPr>
          </w:pPr>
        </w:p>
      </w:tc>
      <w:sdt>
        <w:sdtPr>
          <w:alias w:val="Data de Publicação"/>
          <w:tag w:val=""/>
          <w:id w:val="-1436826251"/>
          <w:dataBinding w:prefixMappings="xmlns:ns0='http://schemas.microsoft.com/office/2006/coverPageProps' " w:xpath="/ns0:CoverPageProperties[1]/ns0:PublishDate[1]" w:storeItemID="{55AF091B-3C7A-41E3-B477-F2FDAA23CFDA}"/>
          <w:date w:fullDate="2019-07-15T00:00:00Z">
            <w:dateFormat w:val="dd/MM/yyyy"/>
            <w:lid w:val="pt-BR"/>
            <w:storeMappedDataAs w:val="dateTime"/>
            <w:calendar w:val="gregorian"/>
          </w:date>
        </w:sdtPr>
        <w:sdtEndPr/>
        <w:sdtContent>
          <w:tc>
            <w:tcPr>
              <w:tcW w:w="6559" w:type="dxa"/>
              <w:tcBorders>
                <w:top w:val="nil"/>
                <w:left w:val="nil"/>
                <w:bottom w:val="nil"/>
                <w:right w:val="nil"/>
              </w:tcBorders>
            </w:tcPr>
            <w:p w:rsidR="00C877DC" w:rsidRDefault="00C26562" w:rsidP="00C26562">
              <w:pPr>
                <w:pStyle w:val="Encabezado"/>
                <w:jc w:val="right"/>
              </w:pPr>
              <w:r>
                <w:t>15</w:t>
              </w:r>
              <w:r w:rsidR="00C877DC">
                <w:t>/07/2019</w:t>
              </w:r>
            </w:p>
          </w:tc>
        </w:sdtContent>
      </w:sdt>
    </w:tr>
  </w:tbl>
  <w:p w:rsidR="00C877DC" w:rsidRDefault="00C877D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562" w:rsidRDefault="00C265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4EA"/>
    <w:multiLevelType w:val="multilevel"/>
    <w:tmpl w:val="A8F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8D7D47"/>
    <w:multiLevelType w:val="hybridMultilevel"/>
    <w:tmpl w:val="C6A08150"/>
    <w:lvl w:ilvl="0" w:tplc="9DC62F4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nsid w:val="1B251081"/>
    <w:multiLevelType w:val="hybridMultilevel"/>
    <w:tmpl w:val="1C44C0C8"/>
    <w:lvl w:ilvl="0" w:tplc="DC1CBEF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1976092"/>
    <w:multiLevelType w:val="hybridMultilevel"/>
    <w:tmpl w:val="30DE17B4"/>
    <w:lvl w:ilvl="0" w:tplc="C71AB80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DB528D8"/>
    <w:multiLevelType w:val="multilevel"/>
    <w:tmpl w:val="494EC580"/>
    <w:numStyleLink w:val="Headings"/>
  </w:abstractNum>
  <w:abstractNum w:abstractNumId="5">
    <w:nsid w:val="312512E8"/>
    <w:multiLevelType w:val="hybridMultilevel"/>
    <w:tmpl w:val="F72A9D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7984F29"/>
    <w:multiLevelType w:val="hybridMultilevel"/>
    <w:tmpl w:val="B4B8664A"/>
    <w:lvl w:ilvl="0" w:tplc="08562966">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0964C91"/>
    <w:multiLevelType w:val="multilevel"/>
    <w:tmpl w:val="4A7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0477A4"/>
    <w:multiLevelType w:val="hybridMultilevel"/>
    <w:tmpl w:val="24DC7330"/>
    <w:lvl w:ilvl="0" w:tplc="2F9CF15E">
      <w:numFmt w:val="bullet"/>
      <w:lvlText w:val=""/>
      <w:lvlJc w:val="left"/>
      <w:pPr>
        <w:ind w:left="1080" w:hanging="360"/>
      </w:pPr>
      <w:rPr>
        <w:rFonts w:ascii="Wingdings" w:eastAsiaTheme="minorHAnsi" w:hAnsi="Wingdings" w:cstheme="minorBid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nsid w:val="62EE7DE5"/>
    <w:multiLevelType w:val="hybridMultilevel"/>
    <w:tmpl w:val="FBDA6982"/>
    <w:lvl w:ilvl="0" w:tplc="E7E4DC3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63D70A43"/>
    <w:multiLevelType w:val="hybridMultilevel"/>
    <w:tmpl w:val="62A4853E"/>
    <w:lvl w:ilvl="0" w:tplc="0B146F32">
      <w:start w:val="4"/>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656772BB"/>
    <w:multiLevelType w:val="hybridMultilevel"/>
    <w:tmpl w:val="4B381CF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65816306"/>
    <w:multiLevelType w:val="multilevel"/>
    <w:tmpl w:val="494EC580"/>
    <w:styleLink w:val="Headings"/>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13">
    <w:nsid w:val="6C9C63AE"/>
    <w:multiLevelType w:val="multilevel"/>
    <w:tmpl w:val="B7E0C14C"/>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E267B1A"/>
    <w:multiLevelType w:val="hybridMultilevel"/>
    <w:tmpl w:val="328481C4"/>
    <w:lvl w:ilvl="0" w:tplc="0354E96A">
      <w:numFmt w:val="bullet"/>
      <w:lvlText w:val="-"/>
      <w:lvlJc w:val="left"/>
      <w:pPr>
        <w:ind w:left="720" w:hanging="360"/>
      </w:pPr>
      <w:rPr>
        <w:rFonts w:ascii="Calibri" w:eastAsiaTheme="minorHAnsi" w:hAnsi="Calibri"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7A9B6748"/>
    <w:multiLevelType w:val="hybridMultilevel"/>
    <w:tmpl w:val="9D681BF0"/>
    <w:lvl w:ilvl="0" w:tplc="9BD025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nsid w:val="7B677370"/>
    <w:multiLevelType w:val="multilevel"/>
    <w:tmpl w:val="C67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210457"/>
    <w:multiLevelType w:val="hybridMultilevel"/>
    <w:tmpl w:val="4B381CF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3"/>
  </w:num>
  <w:num w:numId="6">
    <w:abstractNumId w:val="10"/>
  </w:num>
  <w:num w:numId="7">
    <w:abstractNumId w:val="7"/>
  </w:num>
  <w:num w:numId="8">
    <w:abstractNumId w:val="16"/>
  </w:num>
  <w:num w:numId="9">
    <w:abstractNumId w:val="0"/>
  </w:num>
  <w:num w:numId="10">
    <w:abstractNumId w:val="3"/>
  </w:num>
  <w:num w:numId="11">
    <w:abstractNumId w:val="1"/>
  </w:num>
  <w:num w:numId="12">
    <w:abstractNumId w:val="2"/>
  </w:num>
  <w:num w:numId="13">
    <w:abstractNumId w:val="9"/>
  </w:num>
  <w:num w:numId="14">
    <w:abstractNumId w:val="11"/>
  </w:num>
  <w:num w:numId="15">
    <w:abstractNumId w:val="17"/>
  </w:num>
  <w:num w:numId="16">
    <w:abstractNumId w:val="15"/>
  </w:num>
  <w:num w:numId="17">
    <w:abstractNumId w:val="14"/>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FC"/>
    <w:rsid w:val="00005E95"/>
    <w:rsid w:val="00006E16"/>
    <w:rsid w:val="00010361"/>
    <w:rsid w:val="0001301F"/>
    <w:rsid w:val="00021799"/>
    <w:rsid w:val="00024EF7"/>
    <w:rsid w:val="00030055"/>
    <w:rsid w:val="000343F6"/>
    <w:rsid w:val="00037EDE"/>
    <w:rsid w:val="000426EF"/>
    <w:rsid w:val="00044DAC"/>
    <w:rsid w:val="000567FE"/>
    <w:rsid w:val="00060D9E"/>
    <w:rsid w:val="00062EF0"/>
    <w:rsid w:val="00067562"/>
    <w:rsid w:val="000724F1"/>
    <w:rsid w:val="00076EFB"/>
    <w:rsid w:val="000960BA"/>
    <w:rsid w:val="000A3866"/>
    <w:rsid w:val="000A5811"/>
    <w:rsid w:val="000B0E93"/>
    <w:rsid w:val="000B1395"/>
    <w:rsid w:val="000B1FC4"/>
    <w:rsid w:val="000B2879"/>
    <w:rsid w:val="000B2F91"/>
    <w:rsid w:val="000C1D37"/>
    <w:rsid w:val="000D21B9"/>
    <w:rsid w:val="000D38F0"/>
    <w:rsid w:val="000D5EFB"/>
    <w:rsid w:val="000D68D4"/>
    <w:rsid w:val="000E0ED4"/>
    <w:rsid w:val="000E3134"/>
    <w:rsid w:val="000E3AED"/>
    <w:rsid w:val="000F2096"/>
    <w:rsid w:val="000F3038"/>
    <w:rsid w:val="000F3C04"/>
    <w:rsid w:val="00106614"/>
    <w:rsid w:val="001070FE"/>
    <w:rsid w:val="0012159E"/>
    <w:rsid w:val="0012693B"/>
    <w:rsid w:val="0012751F"/>
    <w:rsid w:val="00131FDB"/>
    <w:rsid w:val="0013338C"/>
    <w:rsid w:val="0015109F"/>
    <w:rsid w:val="00157ED4"/>
    <w:rsid w:val="001602A1"/>
    <w:rsid w:val="00167007"/>
    <w:rsid w:val="00172D1F"/>
    <w:rsid w:val="001743E8"/>
    <w:rsid w:val="00174812"/>
    <w:rsid w:val="001775B1"/>
    <w:rsid w:val="001839F3"/>
    <w:rsid w:val="001A0CC0"/>
    <w:rsid w:val="001A1152"/>
    <w:rsid w:val="001A6332"/>
    <w:rsid w:val="001B039F"/>
    <w:rsid w:val="001B1261"/>
    <w:rsid w:val="001B2D83"/>
    <w:rsid w:val="001B6186"/>
    <w:rsid w:val="001C2394"/>
    <w:rsid w:val="001C2601"/>
    <w:rsid w:val="001C5F2D"/>
    <w:rsid w:val="001D3936"/>
    <w:rsid w:val="001F708A"/>
    <w:rsid w:val="002013EA"/>
    <w:rsid w:val="00204AC5"/>
    <w:rsid w:val="00206BD5"/>
    <w:rsid w:val="002075BF"/>
    <w:rsid w:val="0022411D"/>
    <w:rsid w:val="002248CC"/>
    <w:rsid w:val="002264DF"/>
    <w:rsid w:val="00234408"/>
    <w:rsid w:val="002345FA"/>
    <w:rsid w:val="00235428"/>
    <w:rsid w:val="0024514D"/>
    <w:rsid w:val="002476DC"/>
    <w:rsid w:val="002668B2"/>
    <w:rsid w:val="00275051"/>
    <w:rsid w:val="00275D5B"/>
    <w:rsid w:val="00275E99"/>
    <w:rsid w:val="0029459A"/>
    <w:rsid w:val="00295953"/>
    <w:rsid w:val="002A3A9D"/>
    <w:rsid w:val="002B1FF1"/>
    <w:rsid w:val="002B3558"/>
    <w:rsid w:val="002B75A5"/>
    <w:rsid w:val="002C0D02"/>
    <w:rsid w:val="002C357D"/>
    <w:rsid w:val="002C54B8"/>
    <w:rsid w:val="002C5936"/>
    <w:rsid w:val="002D1E5C"/>
    <w:rsid w:val="002D2618"/>
    <w:rsid w:val="002D50D3"/>
    <w:rsid w:val="002D7DE4"/>
    <w:rsid w:val="002E07CF"/>
    <w:rsid w:val="002E1FF5"/>
    <w:rsid w:val="002E2AE5"/>
    <w:rsid w:val="002E5167"/>
    <w:rsid w:val="002E73D8"/>
    <w:rsid w:val="002F2FCB"/>
    <w:rsid w:val="002F57F4"/>
    <w:rsid w:val="002F5F88"/>
    <w:rsid w:val="00305833"/>
    <w:rsid w:val="00311072"/>
    <w:rsid w:val="00315123"/>
    <w:rsid w:val="00317A49"/>
    <w:rsid w:val="00322FB2"/>
    <w:rsid w:val="00323956"/>
    <w:rsid w:val="0032446E"/>
    <w:rsid w:val="00326599"/>
    <w:rsid w:val="00337642"/>
    <w:rsid w:val="00337CC3"/>
    <w:rsid w:val="003405F6"/>
    <w:rsid w:val="0034609D"/>
    <w:rsid w:val="00360104"/>
    <w:rsid w:val="0036144C"/>
    <w:rsid w:val="00371CFF"/>
    <w:rsid w:val="003947B6"/>
    <w:rsid w:val="00397399"/>
    <w:rsid w:val="003A05F7"/>
    <w:rsid w:val="003A6447"/>
    <w:rsid w:val="003A6F57"/>
    <w:rsid w:val="003B03C0"/>
    <w:rsid w:val="003B3CF0"/>
    <w:rsid w:val="003B72F5"/>
    <w:rsid w:val="003C2B94"/>
    <w:rsid w:val="003C3DFE"/>
    <w:rsid w:val="003D0E6F"/>
    <w:rsid w:val="003E76F3"/>
    <w:rsid w:val="003F3A2B"/>
    <w:rsid w:val="003F4184"/>
    <w:rsid w:val="003F6F1E"/>
    <w:rsid w:val="0040339D"/>
    <w:rsid w:val="00404683"/>
    <w:rsid w:val="00411C1F"/>
    <w:rsid w:val="004156A4"/>
    <w:rsid w:val="0042297B"/>
    <w:rsid w:val="0042406D"/>
    <w:rsid w:val="00427E2A"/>
    <w:rsid w:val="0043077D"/>
    <w:rsid w:val="004312E4"/>
    <w:rsid w:val="00440139"/>
    <w:rsid w:val="004431E4"/>
    <w:rsid w:val="0045220F"/>
    <w:rsid w:val="00453E15"/>
    <w:rsid w:val="00453F8C"/>
    <w:rsid w:val="00460945"/>
    <w:rsid w:val="004633FF"/>
    <w:rsid w:val="00464E0E"/>
    <w:rsid w:val="00465C01"/>
    <w:rsid w:val="00472012"/>
    <w:rsid w:val="00472244"/>
    <w:rsid w:val="0047360E"/>
    <w:rsid w:val="00473D41"/>
    <w:rsid w:val="00477DD1"/>
    <w:rsid w:val="00481F77"/>
    <w:rsid w:val="00483099"/>
    <w:rsid w:val="004835AF"/>
    <w:rsid w:val="00493ACD"/>
    <w:rsid w:val="004A49E1"/>
    <w:rsid w:val="004B2CCE"/>
    <w:rsid w:val="004B45D9"/>
    <w:rsid w:val="004B7DCB"/>
    <w:rsid w:val="004D1385"/>
    <w:rsid w:val="004D26AC"/>
    <w:rsid w:val="004E241F"/>
    <w:rsid w:val="004E3E9C"/>
    <w:rsid w:val="004E484D"/>
    <w:rsid w:val="004E60B4"/>
    <w:rsid w:val="004E765E"/>
    <w:rsid w:val="004F04BC"/>
    <w:rsid w:val="004F19C2"/>
    <w:rsid w:val="004F72FF"/>
    <w:rsid w:val="004F76F0"/>
    <w:rsid w:val="00504209"/>
    <w:rsid w:val="00505611"/>
    <w:rsid w:val="00510979"/>
    <w:rsid w:val="00510B59"/>
    <w:rsid w:val="00512B87"/>
    <w:rsid w:val="00512C48"/>
    <w:rsid w:val="00526353"/>
    <w:rsid w:val="00531054"/>
    <w:rsid w:val="00535C9D"/>
    <w:rsid w:val="00537476"/>
    <w:rsid w:val="005504CB"/>
    <w:rsid w:val="00552863"/>
    <w:rsid w:val="00553295"/>
    <w:rsid w:val="005602C6"/>
    <w:rsid w:val="00561C5B"/>
    <w:rsid w:val="00561E3E"/>
    <w:rsid w:val="0056283D"/>
    <w:rsid w:val="00570BA4"/>
    <w:rsid w:val="005763C1"/>
    <w:rsid w:val="00576EA0"/>
    <w:rsid w:val="005824AA"/>
    <w:rsid w:val="00583647"/>
    <w:rsid w:val="005840DE"/>
    <w:rsid w:val="0059368B"/>
    <w:rsid w:val="005A0101"/>
    <w:rsid w:val="005B141D"/>
    <w:rsid w:val="005C4DD8"/>
    <w:rsid w:val="005D01F3"/>
    <w:rsid w:val="005D094E"/>
    <w:rsid w:val="005D4646"/>
    <w:rsid w:val="005E01E5"/>
    <w:rsid w:val="005F0104"/>
    <w:rsid w:val="005F4F26"/>
    <w:rsid w:val="005F618E"/>
    <w:rsid w:val="005F715E"/>
    <w:rsid w:val="00604568"/>
    <w:rsid w:val="0061073C"/>
    <w:rsid w:val="0061645B"/>
    <w:rsid w:val="00623A24"/>
    <w:rsid w:val="0062682A"/>
    <w:rsid w:val="0063412A"/>
    <w:rsid w:val="006475CA"/>
    <w:rsid w:val="0066088C"/>
    <w:rsid w:val="00667802"/>
    <w:rsid w:val="00670E38"/>
    <w:rsid w:val="00677DDA"/>
    <w:rsid w:val="00680194"/>
    <w:rsid w:val="006818CF"/>
    <w:rsid w:val="0068478B"/>
    <w:rsid w:val="00693BD1"/>
    <w:rsid w:val="006B46D3"/>
    <w:rsid w:val="006E11F0"/>
    <w:rsid w:val="006E3DD4"/>
    <w:rsid w:val="006F38F3"/>
    <w:rsid w:val="006F4AA3"/>
    <w:rsid w:val="006F64C2"/>
    <w:rsid w:val="006F713B"/>
    <w:rsid w:val="0070468B"/>
    <w:rsid w:val="007115EA"/>
    <w:rsid w:val="0071399F"/>
    <w:rsid w:val="0071642B"/>
    <w:rsid w:val="00721651"/>
    <w:rsid w:val="007248EA"/>
    <w:rsid w:val="0073101F"/>
    <w:rsid w:val="007415F9"/>
    <w:rsid w:val="00741733"/>
    <w:rsid w:val="0074474D"/>
    <w:rsid w:val="00746A99"/>
    <w:rsid w:val="00750B86"/>
    <w:rsid w:val="00750E4A"/>
    <w:rsid w:val="007554F5"/>
    <w:rsid w:val="00756904"/>
    <w:rsid w:val="007626C9"/>
    <w:rsid w:val="00763657"/>
    <w:rsid w:val="0076503E"/>
    <w:rsid w:val="0077235C"/>
    <w:rsid w:val="0077282C"/>
    <w:rsid w:val="00774923"/>
    <w:rsid w:val="00774AE1"/>
    <w:rsid w:val="00784A72"/>
    <w:rsid w:val="007900FC"/>
    <w:rsid w:val="00795093"/>
    <w:rsid w:val="007955E0"/>
    <w:rsid w:val="007A05AC"/>
    <w:rsid w:val="007A4D08"/>
    <w:rsid w:val="007B11D3"/>
    <w:rsid w:val="007B256D"/>
    <w:rsid w:val="007B309E"/>
    <w:rsid w:val="007C469D"/>
    <w:rsid w:val="007D6323"/>
    <w:rsid w:val="007F57AF"/>
    <w:rsid w:val="00800723"/>
    <w:rsid w:val="008139DE"/>
    <w:rsid w:val="008200CA"/>
    <w:rsid w:val="00820C77"/>
    <w:rsid w:val="00824C01"/>
    <w:rsid w:val="00832915"/>
    <w:rsid w:val="00834AAB"/>
    <w:rsid w:val="00836C49"/>
    <w:rsid w:val="008372BA"/>
    <w:rsid w:val="00837BBD"/>
    <w:rsid w:val="00845255"/>
    <w:rsid w:val="00845D03"/>
    <w:rsid w:val="00847B04"/>
    <w:rsid w:val="00847EC7"/>
    <w:rsid w:val="008520A5"/>
    <w:rsid w:val="00857032"/>
    <w:rsid w:val="0085768E"/>
    <w:rsid w:val="00866566"/>
    <w:rsid w:val="00881436"/>
    <w:rsid w:val="00881BBA"/>
    <w:rsid w:val="00884E85"/>
    <w:rsid w:val="008937C6"/>
    <w:rsid w:val="008A50CA"/>
    <w:rsid w:val="008A536C"/>
    <w:rsid w:val="008B0817"/>
    <w:rsid w:val="008B4343"/>
    <w:rsid w:val="008B7A0E"/>
    <w:rsid w:val="008C1D43"/>
    <w:rsid w:val="008C2C96"/>
    <w:rsid w:val="008C516E"/>
    <w:rsid w:val="008D243E"/>
    <w:rsid w:val="008D6C86"/>
    <w:rsid w:val="008E57D4"/>
    <w:rsid w:val="00903A63"/>
    <w:rsid w:val="009061E7"/>
    <w:rsid w:val="0092228F"/>
    <w:rsid w:val="0092258D"/>
    <w:rsid w:val="00926817"/>
    <w:rsid w:val="00930748"/>
    <w:rsid w:val="00935F14"/>
    <w:rsid w:val="009360BA"/>
    <w:rsid w:val="00941971"/>
    <w:rsid w:val="0094340E"/>
    <w:rsid w:val="0094419A"/>
    <w:rsid w:val="00944EE3"/>
    <w:rsid w:val="00946626"/>
    <w:rsid w:val="00950DF1"/>
    <w:rsid w:val="00955600"/>
    <w:rsid w:val="00960042"/>
    <w:rsid w:val="00960338"/>
    <w:rsid w:val="00973F4B"/>
    <w:rsid w:val="00974080"/>
    <w:rsid w:val="009741B0"/>
    <w:rsid w:val="0098097C"/>
    <w:rsid w:val="0098201C"/>
    <w:rsid w:val="00985338"/>
    <w:rsid w:val="009A45E8"/>
    <w:rsid w:val="009A50BF"/>
    <w:rsid w:val="009A59CA"/>
    <w:rsid w:val="009A600E"/>
    <w:rsid w:val="009A628A"/>
    <w:rsid w:val="009C06E6"/>
    <w:rsid w:val="009C5D97"/>
    <w:rsid w:val="009C7856"/>
    <w:rsid w:val="009D3094"/>
    <w:rsid w:val="009D62F7"/>
    <w:rsid w:val="009D6318"/>
    <w:rsid w:val="009E441E"/>
    <w:rsid w:val="00A215C3"/>
    <w:rsid w:val="00A24125"/>
    <w:rsid w:val="00A356AB"/>
    <w:rsid w:val="00A37FCC"/>
    <w:rsid w:val="00A4472E"/>
    <w:rsid w:val="00A4679B"/>
    <w:rsid w:val="00A4696F"/>
    <w:rsid w:val="00A47BA4"/>
    <w:rsid w:val="00A53298"/>
    <w:rsid w:val="00A57778"/>
    <w:rsid w:val="00A61B25"/>
    <w:rsid w:val="00A640F1"/>
    <w:rsid w:val="00A74306"/>
    <w:rsid w:val="00A7773C"/>
    <w:rsid w:val="00A81B23"/>
    <w:rsid w:val="00A842D6"/>
    <w:rsid w:val="00A918B4"/>
    <w:rsid w:val="00A954E2"/>
    <w:rsid w:val="00AA0F4D"/>
    <w:rsid w:val="00AA2403"/>
    <w:rsid w:val="00AA34D2"/>
    <w:rsid w:val="00AA47B7"/>
    <w:rsid w:val="00AA4ECE"/>
    <w:rsid w:val="00AB1474"/>
    <w:rsid w:val="00AB2464"/>
    <w:rsid w:val="00AB510E"/>
    <w:rsid w:val="00AB5DEE"/>
    <w:rsid w:val="00AB6140"/>
    <w:rsid w:val="00AC093B"/>
    <w:rsid w:val="00AC0F6D"/>
    <w:rsid w:val="00AC5541"/>
    <w:rsid w:val="00AC6359"/>
    <w:rsid w:val="00AC7CA0"/>
    <w:rsid w:val="00AD0777"/>
    <w:rsid w:val="00AD25CA"/>
    <w:rsid w:val="00AE2612"/>
    <w:rsid w:val="00AE4C13"/>
    <w:rsid w:val="00AE5EF5"/>
    <w:rsid w:val="00AE6863"/>
    <w:rsid w:val="00AE715A"/>
    <w:rsid w:val="00AF0F94"/>
    <w:rsid w:val="00B0509B"/>
    <w:rsid w:val="00B11A27"/>
    <w:rsid w:val="00B13F5E"/>
    <w:rsid w:val="00B1422E"/>
    <w:rsid w:val="00B15308"/>
    <w:rsid w:val="00B260E1"/>
    <w:rsid w:val="00B303A6"/>
    <w:rsid w:val="00B34A54"/>
    <w:rsid w:val="00B451EB"/>
    <w:rsid w:val="00B60DEC"/>
    <w:rsid w:val="00B648F0"/>
    <w:rsid w:val="00B651C6"/>
    <w:rsid w:val="00B770BC"/>
    <w:rsid w:val="00B824A2"/>
    <w:rsid w:val="00B848CE"/>
    <w:rsid w:val="00B91792"/>
    <w:rsid w:val="00B930A0"/>
    <w:rsid w:val="00B97422"/>
    <w:rsid w:val="00B97EE6"/>
    <w:rsid w:val="00BA21DE"/>
    <w:rsid w:val="00BA65B9"/>
    <w:rsid w:val="00BB1A50"/>
    <w:rsid w:val="00BB22A6"/>
    <w:rsid w:val="00BC21C5"/>
    <w:rsid w:val="00BD0E61"/>
    <w:rsid w:val="00BD1981"/>
    <w:rsid w:val="00BD1C34"/>
    <w:rsid w:val="00BD4622"/>
    <w:rsid w:val="00BF4049"/>
    <w:rsid w:val="00C01222"/>
    <w:rsid w:val="00C0134F"/>
    <w:rsid w:val="00C04C6A"/>
    <w:rsid w:val="00C10820"/>
    <w:rsid w:val="00C10889"/>
    <w:rsid w:val="00C14984"/>
    <w:rsid w:val="00C160AB"/>
    <w:rsid w:val="00C26562"/>
    <w:rsid w:val="00C32EFC"/>
    <w:rsid w:val="00C40085"/>
    <w:rsid w:val="00C51318"/>
    <w:rsid w:val="00C5299D"/>
    <w:rsid w:val="00C56C4E"/>
    <w:rsid w:val="00C6502D"/>
    <w:rsid w:val="00C654D6"/>
    <w:rsid w:val="00C7112A"/>
    <w:rsid w:val="00C75583"/>
    <w:rsid w:val="00C7576E"/>
    <w:rsid w:val="00C75B04"/>
    <w:rsid w:val="00C771F7"/>
    <w:rsid w:val="00C806D0"/>
    <w:rsid w:val="00C81241"/>
    <w:rsid w:val="00C84278"/>
    <w:rsid w:val="00C85E4C"/>
    <w:rsid w:val="00C877DC"/>
    <w:rsid w:val="00C87E75"/>
    <w:rsid w:val="00CA404D"/>
    <w:rsid w:val="00CA530D"/>
    <w:rsid w:val="00CA584C"/>
    <w:rsid w:val="00CA64F2"/>
    <w:rsid w:val="00CA7A2F"/>
    <w:rsid w:val="00CB1102"/>
    <w:rsid w:val="00CB142F"/>
    <w:rsid w:val="00CB150D"/>
    <w:rsid w:val="00CB4094"/>
    <w:rsid w:val="00CB4676"/>
    <w:rsid w:val="00CB6035"/>
    <w:rsid w:val="00CB706A"/>
    <w:rsid w:val="00CB7ED1"/>
    <w:rsid w:val="00CC41B8"/>
    <w:rsid w:val="00CD46FD"/>
    <w:rsid w:val="00CD6C36"/>
    <w:rsid w:val="00CD7053"/>
    <w:rsid w:val="00CE3B59"/>
    <w:rsid w:val="00CE67DA"/>
    <w:rsid w:val="00CE6FE2"/>
    <w:rsid w:val="00CE7095"/>
    <w:rsid w:val="00D01052"/>
    <w:rsid w:val="00D01B65"/>
    <w:rsid w:val="00D05AB9"/>
    <w:rsid w:val="00D06FCF"/>
    <w:rsid w:val="00D11F31"/>
    <w:rsid w:val="00D1259C"/>
    <w:rsid w:val="00D138BD"/>
    <w:rsid w:val="00D14BA9"/>
    <w:rsid w:val="00D15F84"/>
    <w:rsid w:val="00D17EB4"/>
    <w:rsid w:val="00D2699B"/>
    <w:rsid w:val="00D31D30"/>
    <w:rsid w:val="00D3670C"/>
    <w:rsid w:val="00D476C8"/>
    <w:rsid w:val="00D47A06"/>
    <w:rsid w:val="00D50B85"/>
    <w:rsid w:val="00D607CE"/>
    <w:rsid w:val="00D62496"/>
    <w:rsid w:val="00D738EF"/>
    <w:rsid w:val="00D74C81"/>
    <w:rsid w:val="00D8028C"/>
    <w:rsid w:val="00D827A5"/>
    <w:rsid w:val="00D85C79"/>
    <w:rsid w:val="00D974D7"/>
    <w:rsid w:val="00DA3368"/>
    <w:rsid w:val="00DA4EEE"/>
    <w:rsid w:val="00DA6623"/>
    <w:rsid w:val="00DB16DC"/>
    <w:rsid w:val="00DB2F16"/>
    <w:rsid w:val="00DC4266"/>
    <w:rsid w:val="00DC5CB0"/>
    <w:rsid w:val="00DC79C4"/>
    <w:rsid w:val="00DD181A"/>
    <w:rsid w:val="00DD5F2E"/>
    <w:rsid w:val="00DE7B24"/>
    <w:rsid w:val="00DF4299"/>
    <w:rsid w:val="00DF4998"/>
    <w:rsid w:val="00E02B42"/>
    <w:rsid w:val="00E1366D"/>
    <w:rsid w:val="00E2508C"/>
    <w:rsid w:val="00E30457"/>
    <w:rsid w:val="00E3442F"/>
    <w:rsid w:val="00E36100"/>
    <w:rsid w:val="00E36917"/>
    <w:rsid w:val="00E3737F"/>
    <w:rsid w:val="00E41E15"/>
    <w:rsid w:val="00E43DB5"/>
    <w:rsid w:val="00E4426B"/>
    <w:rsid w:val="00E45D9E"/>
    <w:rsid w:val="00E46E52"/>
    <w:rsid w:val="00E47CC9"/>
    <w:rsid w:val="00E51990"/>
    <w:rsid w:val="00E5356C"/>
    <w:rsid w:val="00E54DAD"/>
    <w:rsid w:val="00E671B0"/>
    <w:rsid w:val="00E73C09"/>
    <w:rsid w:val="00E85346"/>
    <w:rsid w:val="00E85F19"/>
    <w:rsid w:val="00E96121"/>
    <w:rsid w:val="00EA64EC"/>
    <w:rsid w:val="00EB1463"/>
    <w:rsid w:val="00EB21DD"/>
    <w:rsid w:val="00EB55E2"/>
    <w:rsid w:val="00EB7377"/>
    <w:rsid w:val="00EC39A0"/>
    <w:rsid w:val="00EC4476"/>
    <w:rsid w:val="00EC559D"/>
    <w:rsid w:val="00EC59CD"/>
    <w:rsid w:val="00EE1E1D"/>
    <w:rsid w:val="00EE445A"/>
    <w:rsid w:val="00EE6CC9"/>
    <w:rsid w:val="00EE71B7"/>
    <w:rsid w:val="00EF2A7A"/>
    <w:rsid w:val="00EF74FA"/>
    <w:rsid w:val="00EF7F21"/>
    <w:rsid w:val="00F0091C"/>
    <w:rsid w:val="00F00D2C"/>
    <w:rsid w:val="00F14944"/>
    <w:rsid w:val="00F2177F"/>
    <w:rsid w:val="00F273A3"/>
    <w:rsid w:val="00F30D63"/>
    <w:rsid w:val="00F41A25"/>
    <w:rsid w:val="00F458F3"/>
    <w:rsid w:val="00F525B4"/>
    <w:rsid w:val="00F64BAA"/>
    <w:rsid w:val="00F6723E"/>
    <w:rsid w:val="00F676F9"/>
    <w:rsid w:val="00F70751"/>
    <w:rsid w:val="00F74DAE"/>
    <w:rsid w:val="00F758AA"/>
    <w:rsid w:val="00F8274C"/>
    <w:rsid w:val="00F836AD"/>
    <w:rsid w:val="00F86E89"/>
    <w:rsid w:val="00F96905"/>
    <w:rsid w:val="00FA0786"/>
    <w:rsid w:val="00FA0C82"/>
    <w:rsid w:val="00FB4E00"/>
    <w:rsid w:val="00FB58A3"/>
    <w:rsid w:val="00FB771D"/>
    <w:rsid w:val="00FB7820"/>
    <w:rsid w:val="00FC0AC5"/>
    <w:rsid w:val="00FD6D48"/>
    <w:rsid w:val="00FD7AB9"/>
    <w:rsid w:val="00FE0803"/>
    <w:rsid w:val="00FE63F4"/>
    <w:rsid w:val="00FE682C"/>
    <w:rsid w:val="00FE7AC0"/>
    <w:rsid w:val="00FF2A70"/>
    <w:rsid w:val="00FF38F0"/>
    <w:rsid w:val="00FF3C6D"/>
    <w:rsid w:val="00FF6672"/>
    <w:rsid w:val="00FF6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73D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73D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73D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D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E73D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73D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73D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73D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73D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2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EFC"/>
  </w:style>
  <w:style w:type="paragraph" w:styleId="Piedepgina">
    <w:name w:val="footer"/>
    <w:basedOn w:val="Normal"/>
    <w:link w:val="PiedepginaCar"/>
    <w:uiPriority w:val="99"/>
    <w:unhideWhenUsed/>
    <w:rsid w:val="00C32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EFC"/>
  </w:style>
  <w:style w:type="character" w:styleId="Textodelmarcadordeposicin">
    <w:name w:val="Placeholder Text"/>
    <w:basedOn w:val="Fuentedeprrafopredeter"/>
    <w:uiPriority w:val="99"/>
    <w:semiHidden/>
    <w:rsid w:val="00C32EFC"/>
    <w:rPr>
      <w:color w:val="808080"/>
    </w:rPr>
  </w:style>
  <w:style w:type="paragraph" w:styleId="Textodeglobo">
    <w:name w:val="Balloon Text"/>
    <w:basedOn w:val="Normal"/>
    <w:link w:val="TextodegloboCar"/>
    <w:uiPriority w:val="99"/>
    <w:semiHidden/>
    <w:unhideWhenUsed/>
    <w:rsid w:val="00C3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EFC"/>
    <w:rPr>
      <w:rFonts w:ascii="Tahoma" w:hAnsi="Tahoma" w:cs="Tahoma"/>
      <w:sz w:val="16"/>
      <w:szCs w:val="16"/>
    </w:rPr>
  </w:style>
  <w:style w:type="table" w:styleId="Tablaconcuadrcula">
    <w:name w:val="Table Grid"/>
    <w:basedOn w:val="Tablanormal"/>
    <w:uiPriority w:val="59"/>
    <w:rsid w:val="00E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25B4"/>
    <w:pPr>
      <w:ind w:left="720"/>
      <w:contextualSpacing/>
    </w:pPr>
  </w:style>
  <w:style w:type="character" w:customStyle="1" w:styleId="Ttulo1Car">
    <w:name w:val="Título 1 Car"/>
    <w:basedOn w:val="Fuentedeprrafopredeter"/>
    <w:link w:val="Ttulo1"/>
    <w:uiPriority w:val="9"/>
    <w:rsid w:val="002E73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73D8"/>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CC41B8"/>
    <w:pPr>
      <w:spacing w:after="0" w:line="240" w:lineRule="auto"/>
    </w:pPr>
    <w:rPr>
      <w:rFonts w:eastAsiaTheme="minorEastAsia"/>
      <w:lang w:eastAsia="pt-BR"/>
    </w:rPr>
  </w:style>
  <w:style w:type="character" w:customStyle="1" w:styleId="SinespaciadoCar">
    <w:name w:val="Sin espaciado Car"/>
    <w:basedOn w:val="Fuentedeprrafopredeter"/>
    <w:link w:val="Sinespaciado"/>
    <w:uiPriority w:val="1"/>
    <w:rsid w:val="00CC41B8"/>
    <w:rPr>
      <w:rFonts w:eastAsiaTheme="minorEastAsia"/>
      <w:lang w:eastAsia="pt-BR"/>
    </w:rPr>
  </w:style>
  <w:style w:type="paragraph" w:styleId="TtulodeTDC">
    <w:name w:val="TOC Heading"/>
    <w:basedOn w:val="Ttulo1"/>
    <w:next w:val="Normal"/>
    <w:uiPriority w:val="39"/>
    <w:unhideWhenUsed/>
    <w:qFormat/>
    <w:rsid w:val="00D738EF"/>
    <w:pPr>
      <w:outlineLvl w:val="9"/>
    </w:pPr>
    <w:rPr>
      <w:lang w:eastAsia="pt-BR"/>
    </w:rPr>
  </w:style>
  <w:style w:type="paragraph" w:styleId="TDC1">
    <w:name w:val="toc 1"/>
    <w:basedOn w:val="Normal"/>
    <w:next w:val="Normal"/>
    <w:autoRedefine/>
    <w:uiPriority w:val="39"/>
    <w:unhideWhenUsed/>
    <w:rsid w:val="00D738EF"/>
    <w:pPr>
      <w:spacing w:after="100"/>
    </w:pPr>
  </w:style>
  <w:style w:type="paragraph" w:styleId="TDC2">
    <w:name w:val="toc 2"/>
    <w:basedOn w:val="Normal"/>
    <w:next w:val="Normal"/>
    <w:autoRedefine/>
    <w:uiPriority w:val="39"/>
    <w:unhideWhenUsed/>
    <w:rsid w:val="00D738EF"/>
    <w:pPr>
      <w:spacing w:after="100"/>
      <w:ind w:left="220"/>
    </w:pPr>
  </w:style>
  <w:style w:type="character" w:styleId="Hipervnculo">
    <w:name w:val="Hyperlink"/>
    <w:basedOn w:val="Fuentedeprrafopredeter"/>
    <w:uiPriority w:val="99"/>
    <w:unhideWhenUsed/>
    <w:rsid w:val="00D738EF"/>
    <w:rPr>
      <w:color w:val="0000FF" w:themeColor="hyperlink"/>
      <w:u w:val="single"/>
    </w:rPr>
  </w:style>
  <w:style w:type="character" w:customStyle="1" w:styleId="Ttulo3Car">
    <w:name w:val="Título 3 Car"/>
    <w:basedOn w:val="Fuentedeprrafopredeter"/>
    <w:link w:val="Ttulo3"/>
    <w:uiPriority w:val="9"/>
    <w:rsid w:val="002E73D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D6C86"/>
    <w:pPr>
      <w:spacing w:after="100"/>
      <w:ind w:left="440"/>
    </w:pPr>
  </w:style>
  <w:style w:type="numbering" w:customStyle="1" w:styleId="Headings">
    <w:name w:val="Headings"/>
    <w:uiPriority w:val="99"/>
    <w:rsid w:val="002E73D8"/>
    <w:pPr>
      <w:numPr>
        <w:numId w:val="2"/>
      </w:numPr>
    </w:pPr>
  </w:style>
  <w:style w:type="character" w:customStyle="1" w:styleId="Ttulo4Car">
    <w:name w:val="Título 4 Car"/>
    <w:basedOn w:val="Fuentedeprrafopredeter"/>
    <w:link w:val="Ttulo4"/>
    <w:uiPriority w:val="9"/>
    <w:rsid w:val="002E73D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E73D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E73D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E73D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E73D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73D8"/>
    <w:rPr>
      <w:rFonts w:asciiTheme="majorHAnsi" w:eastAsiaTheme="majorEastAsia" w:hAnsiTheme="majorHAnsi" w:cstheme="majorBidi"/>
      <w:i/>
      <w:iCs/>
      <w:color w:val="404040" w:themeColor="text1" w:themeTint="BF"/>
      <w:sz w:val="20"/>
      <w:szCs w:val="20"/>
    </w:rPr>
  </w:style>
  <w:style w:type="character" w:customStyle="1" w:styleId="hps">
    <w:name w:val="hps"/>
    <w:basedOn w:val="Fuentedeprrafopredeter"/>
    <w:rsid w:val="005F715E"/>
  </w:style>
  <w:style w:type="character" w:customStyle="1" w:styleId="shorttext">
    <w:name w:val="short_text"/>
    <w:basedOn w:val="Fuentedeprrafopredeter"/>
    <w:rsid w:val="00EE7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73D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73D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73D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D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E73D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73D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73D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73D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73D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2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EFC"/>
  </w:style>
  <w:style w:type="paragraph" w:styleId="Piedepgina">
    <w:name w:val="footer"/>
    <w:basedOn w:val="Normal"/>
    <w:link w:val="PiedepginaCar"/>
    <w:uiPriority w:val="99"/>
    <w:unhideWhenUsed/>
    <w:rsid w:val="00C32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EFC"/>
  </w:style>
  <w:style w:type="character" w:styleId="Textodelmarcadordeposicin">
    <w:name w:val="Placeholder Text"/>
    <w:basedOn w:val="Fuentedeprrafopredeter"/>
    <w:uiPriority w:val="99"/>
    <w:semiHidden/>
    <w:rsid w:val="00C32EFC"/>
    <w:rPr>
      <w:color w:val="808080"/>
    </w:rPr>
  </w:style>
  <w:style w:type="paragraph" w:styleId="Textodeglobo">
    <w:name w:val="Balloon Text"/>
    <w:basedOn w:val="Normal"/>
    <w:link w:val="TextodegloboCar"/>
    <w:uiPriority w:val="99"/>
    <w:semiHidden/>
    <w:unhideWhenUsed/>
    <w:rsid w:val="00C3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EFC"/>
    <w:rPr>
      <w:rFonts w:ascii="Tahoma" w:hAnsi="Tahoma" w:cs="Tahoma"/>
      <w:sz w:val="16"/>
      <w:szCs w:val="16"/>
    </w:rPr>
  </w:style>
  <w:style w:type="table" w:styleId="Tablaconcuadrcula">
    <w:name w:val="Table Grid"/>
    <w:basedOn w:val="Tablanormal"/>
    <w:uiPriority w:val="59"/>
    <w:rsid w:val="00E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25B4"/>
    <w:pPr>
      <w:ind w:left="720"/>
      <w:contextualSpacing/>
    </w:pPr>
  </w:style>
  <w:style w:type="character" w:customStyle="1" w:styleId="Ttulo1Car">
    <w:name w:val="Título 1 Car"/>
    <w:basedOn w:val="Fuentedeprrafopredeter"/>
    <w:link w:val="Ttulo1"/>
    <w:uiPriority w:val="9"/>
    <w:rsid w:val="002E73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73D8"/>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CC41B8"/>
    <w:pPr>
      <w:spacing w:after="0" w:line="240" w:lineRule="auto"/>
    </w:pPr>
    <w:rPr>
      <w:rFonts w:eastAsiaTheme="minorEastAsia"/>
      <w:lang w:eastAsia="pt-BR"/>
    </w:rPr>
  </w:style>
  <w:style w:type="character" w:customStyle="1" w:styleId="SinespaciadoCar">
    <w:name w:val="Sin espaciado Car"/>
    <w:basedOn w:val="Fuentedeprrafopredeter"/>
    <w:link w:val="Sinespaciado"/>
    <w:uiPriority w:val="1"/>
    <w:rsid w:val="00CC41B8"/>
    <w:rPr>
      <w:rFonts w:eastAsiaTheme="minorEastAsia"/>
      <w:lang w:eastAsia="pt-BR"/>
    </w:rPr>
  </w:style>
  <w:style w:type="paragraph" w:styleId="TtulodeTDC">
    <w:name w:val="TOC Heading"/>
    <w:basedOn w:val="Ttulo1"/>
    <w:next w:val="Normal"/>
    <w:uiPriority w:val="39"/>
    <w:unhideWhenUsed/>
    <w:qFormat/>
    <w:rsid w:val="00D738EF"/>
    <w:pPr>
      <w:outlineLvl w:val="9"/>
    </w:pPr>
    <w:rPr>
      <w:lang w:eastAsia="pt-BR"/>
    </w:rPr>
  </w:style>
  <w:style w:type="paragraph" w:styleId="TDC1">
    <w:name w:val="toc 1"/>
    <w:basedOn w:val="Normal"/>
    <w:next w:val="Normal"/>
    <w:autoRedefine/>
    <w:uiPriority w:val="39"/>
    <w:unhideWhenUsed/>
    <w:rsid w:val="00D738EF"/>
    <w:pPr>
      <w:spacing w:after="100"/>
    </w:pPr>
  </w:style>
  <w:style w:type="paragraph" w:styleId="TDC2">
    <w:name w:val="toc 2"/>
    <w:basedOn w:val="Normal"/>
    <w:next w:val="Normal"/>
    <w:autoRedefine/>
    <w:uiPriority w:val="39"/>
    <w:unhideWhenUsed/>
    <w:rsid w:val="00D738EF"/>
    <w:pPr>
      <w:spacing w:after="100"/>
      <w:ind w:left="220"/>
    </w:pPr>
  </w:style>
  <w:style w:type="character" w:styleId="Hipervnculo">
    <w:name w:val="Hyperlink"/>
    <w:basedOn w:val="Fuentedeprrafopredeter"/>
    <w:uiPriority w:val="99"/>
    <w:unhideWhenUsed/>
    <w:rsid w:val="00D738EF"/>
    <w:rPr>
      <w:color w:val="0000FF" w:themeColor="hyperlink"/>
      <w:u w:val="single"/>
    </w:rPr>
  </w:style>
  <w:style w:type="character" w:customStyle="1" w:styleId="Ttulo3Car">
    <w:name w:val="Título 3 Car"/>
    <w:basedOn w:val="Fuentedeprrafopredeter"/>
    <w:link w:val="Ttulo3"/>
    <w:uiPriority w:val="9"/>
    <w:rsid w:val="002E73D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D6C86"/>
    <w:pPr>
      <w:spacing w:after="100"/>
      <w:ind w:left="440"/>
    </w:pPr>
  </w:style>
  <w:style w:type="numbering" w:customStyle="1" w:styleId="Headings">
    <w:name w:val="Headings"/>
    <w:uiPriority w:val="99"/>
    <w:rsid w:val="002E73D8"/>
    <w:pPr>
      <w:numPr>
        <w:numId w:val="2"/>
      </w:numPr>
    </w:pPr>
  </w:style>
  <w:style w:type="character" w:customStyle="1" w:styleId="Ttulo4Car">
    <w:name w:val="Título 4 Car"/>
    <w:basedOn w:val="Fuentedeprrafopredeter"/>
    <w:link w:val="Ttulo4"/>
    <w:uiPriority w:val="9"/>
    <w:rsid w:val="002E73D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E73D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E73D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E73D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E73D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73D8"/>
    <w:rPr>
      <w:rFonts w:asciiTheme="majorHAnsi" w:eastAsiaTheme="majorEastAsia" w:hAnsiTheme="majorHAnsi" w:cstheme="majorBidi"/>
      <w:i/>
      <w:iCs/>
      <w:color w:val="404040" w:themeColor="text1" w:themeTint="BF"/>
      <w:sz w:val="20"/>
      <w:szCs w:val="20"/>
    </w:rPr>
  </w:style>
  <w:style w:type="character" w:customStyle="1" w:styleId="hps">
    <w:name w:val="hps"/>
    <w:basedOn w:val="Fuentedeprrafopredeter"/>
    <w:rsid w:val="005F715E"/>
  </w:style>
  <w:style w:type="character" w:customStyle="1" w:styleId="shorttext">
    <w:name w:val="short_text"/>
    <w:basedOn w:val="Fuentedeprrafopredeter"/>
    <w:rsid w:val="00EE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507">
      <w:bodyDiv w:val="1"/>
      <w:marLeft w:val="0"/>
      <w:marRight w:val="0"/>
      <w:marTop w:val="0"/>
      <w:marBottom w:val="0"/>
      <w:divBdr>
        <w:top w:val="none" w:sz="0" w:space="0" w:color="auto"/>
        <w:left w:val="none" w:sz="0" w:space="0" w:color="auto"/>
        <w:bottom w:val="none" w:sz="0" w:space="0" w:color="auto"/>
        <w:right w:val="none" w:sz="0" w:space="0" w:color="auto"/>
      </w:divBdr>
    </w:div>
    <w:div w:id="289287589">
      <w:bodyDiv w:val="1"/>
      <w:marLeft w:val="0"/>
      <w:marRight w:val="0"/>
      <w:marTop w:val="0"/>
      <w:marBottom w:val="0"/>
      <w:divBdr>
        <w:top w:val="none" w:sz="0" w:space="0" w:color="auto"/>
        <w:left w:val="none" w:sz="0" w:space="0" w:color="auto"/>
        <w:bottom w:val="none" w:sz="0" w:space="0" w:color="auto"/>
        <w:right w:val="none" w:sz="0" w:space="0" w:color="auto"/>
      </w:divBdr>
    </w:div>
    <w:div w:id="1155801231">
      <w:bodyDiv w:val="1"/>
      <w:marLeft w:val="0"/>
      <w:marRight w:val="0"/>
      <w:marTop w:val="0"/>
      <w:marBottom w:val="0"/>
      <w:divBdr>
        <w:top w:val="none" w:sz="0" w:space="0" w:color="auto"/>
        <w:left w:val="none" w:sz="0" w:space="0" w:color="auto"/>
        <w:bottom w:val="none" w:sz="0" w:space="0" w:color="auto"/>
        <w:right w:val="none" w:sz="0" w:space="0" w:color="auto"/>
      </w:divBdr>
    </w:div>
    <w:div w:id="1257445518">
      <w:bodyDiv w:val="1"/>
      <w:marLeft w:val="0"/>
      <w:marRight w:val="0"/>
      <w:marTop w:val="0"/>
      <w:marBottom w:val="0"/>
      <w:divBdr>
        <w:top w:val="none" w:sz="0" w:space="0" w:color="auto"/>
        <w:left w:val="none" w:sz="0" w:space="0" w:color="auto"/>
        <w:bottom w:val="none" w:sz="0" w:space="0" w:color="auto"/>
        <w:right w:val="none" w:sz="0" w:space="0" w:color="auto"/>
      </w:divBdr>
      <w:divsChild>
        <w:div w:id="1307853223">
          <w:marLeft w:val="0"/>
          <w:marRight w:val="0"/>
          <w:marTop w:val="0"/>
          <w:marBottom w:val="0"/>
          <w:divBdr>
            <w:top w:val="none" w:sz="0" w:space="0" w:color="auto"/>
            <w:left w:val="none" w:sz="0" w:space="0" w:color="auto"/>
            <w:bottom w:val="none" w:sz="0" w:space="0" w:color="auto"/>
            <w:right w:val="none" w:sz="0" w:space="0" w:color="auto"/>
          </w:divBdr>
          <w:divsChild>
            <w:div w:id="20299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627">
      <w:bodyDiv w:val="1"/>
      <w:marLeft w:val="0"/>
      <w:marRight w:val="0"/>
      <w:marTop w:val="0"/>
      <w:marBottom w:val="0"/>
      <w:divBdr>
        <w:top w:val="none" w:sz="0" w:space="0" w:color="auto"/>
        <w:left w:val="none" w:sz="0" w:space="0" w:color="auto"/>
        <w:bottom w:val="none" w:sz="0" w:space="0" w:color="auto"/>
        <w:right w:val="none" w:sz="0" w:space="0" w:color="auto"/>
      </w:divBdr>
      <w:divsChild>
        <w:div w:id="1595548199">
          <w:marLeft w:val="0"/>
          <w:marRight w:val="0"/>
          <w:marTop w:val="0"/>
          <w:marBottom w:val="0"/>
          <w:divBdr>
            <w:top w:val="none" w:sz="0" w:space="0" w:color="auto"/>
            <w:left w:val="none" w:sz="0" w:space="0" w:color="auto"/>
            <w:bottom w:val="none" w:sz="0" w:space="0" w:color="auto"/>
            <w:right w:val="none" w:sz="0" w:space="0" w:color="auto"/>
          </w:divBdr>
        </w:div>
      </w:divsChild>
    </w:div>
    <w:div w:id="1698265521">
      <w:bodyDiv w:val="1"/>
      <w:marLeft w:val="0"/>
      <w:marRight w:val="0"/>
      <w:marTop w:val="0"/>
      <w:marBottom w:val="0"/>
      <w:divBdr>
        <w:top w:val="none" w:sz="0" w:space="0" w:color="auto"/>
        <w:left w:val="none" w:sz="0" w:space="0" w:color="auto"/>
        <w:bottom w:val="none" w:sz="0" w:space="0" w:color="auto"/>
        <w:right w:val="none" w:sz="0" w:space="0" w:color="auto"/>
      </w:divBdr>
    </w:div>
    <w:div w:id="1743284819">
      <w:bodyDiv w:val="1"/>
      <w:marLeft w:val="0"/>
      <w:marRight w:val="0"/>
      <w:marTop w:val="0"/>
      <w:marBottom w:val="0"/>
      <w:divBdr>
        <w:top w:val="none" w:sz="0" w:space="0" w:color="auto"/>
        <w:left w:val="none" w:sz="0" w:space="0" w:color="auto"/>
        <w:bottom w:val="none" w:sz="0" w:space="0" w:color="auto"/>
        <w:right w:val="none" w:sz="0" w:space="0" w:color="auto"/>
      </w:divBdr>
    </w:div>
    <w:div w:id="1836411410">
      <w:bodyDiv w:val="1"/>
      <w:marLeft w:val="0"/>
      <w:marRight w:val="0"/>
      <w:marTop w:val="0"/>
      <w:marBottom w:val="0"/>
      <w:divBdr>
        <w:top w:val="none" w:sz="0" w:space="0" w:color="auto"/>
        <w:left w:val="none" w:sz="0" w:space="0" w:color="auto"/>
        <w:bottom w:val="none" w:sz="0" w:space="0" w:color="auto"/>
        <w:right w:val="none" w:sz="0" w:space="0" w:color="auto"/>
      </w:divBdr>
      <w:divsChild>
        <w:div w:id="744228216">
          <w:marLeft w:val="0"/>
          <w:marRight w:val="0"/>
          <w:marTop w:val="0"/>
          <w:marBottom w:val="0"/>
          <w:divBdr>
            <w:top w:val="none" w:sz="0" w:space="0" w:color="auto"/>
            <w:left w:val="none" w:sz="0" w:space="0" w:color="auto"/>
            <w:bottom w:val="none" w:sz="0" w:space="0" w:color="auto"/>
            <w:right w:val="none" w:sz="0" w:space="0" w:color="auto"/>
          </w:divBdr>
        </w:div>
        <w:div w:id="1581254807">
          <w:marLeft w:val="0"/>
          <w:marRight w:val="0"/>
          <w:marTop w:val="0"/>
          <w:marBottom w:val="0"/>
          <w:divBdr>
            <w:top w:val="none" w:sz="0" w:space="0" w:color="auto"/>
            <w:left w:val="none" w:sz="0" w:space="0" w:color="auto"/>
            <w:bottom w:val="none" w:sz="0" w:space="0" w:color="auto"/>
            <w:right w:val="none" w:sz="0" w:space="0" w:color="auto"/>
          </w:divBdr>
        </w:div>
        <w:div w:id="415202172">
          <w:marLeft w:val="0"/>
          <w:marRight w:val="0"/>
          <w:marTop w:val="0"/>
          <w:marBottom w:val="0"/>
          <w:divBdr>
            <w:top w:val="none" w:sz="0" w:space="0" w:color="auto"/>
            <w:left w:val="none" w:sz="0" w:space="0" w:color="auto"/>
            <w:bottom w:val="none" w:sz="0" w:space="0" w:color="auto"/>
            <w:right w:val="none" w:sz="0" w:space="0" w:color="auto"/>
          </w:divBdr>
        </w:div>
      </w:divsChild>
    </w:div>
    <w:div w:id="2069255210">
      <w:bodyDiv w:val="1"/>
      <w:marLeft w:val="0"/>
      <w:marRight w:val="0"/>
      <w:marTop w:val="0"/>
      <w:marBottom w:val="0"/>
      <w:divBdr>
        <w:top w:val="none" w:sz="0" w:space="0" w:color="auto"/>
        <w:left w:val="none" w:sz="0" w:space="0" w:color="auto"/>
        <w:bottom w:val="none" w:sz="0" w:space="0" w:color="auto"/>
        <w:right w:val="none" w:sz="0" w:space="0" w:color="auto"/>
      </w:divBdr>
      <w:divsChild>
        <w:div w:id="1302924588">
          <w:marLeft w:val="0"/>
          <w:marRight w:val="0"/>
          <w:marTop w:val="0"/>
          <w:marBottom w:val="0"/>
          <w:divBdr>
            <w:top w:val="none" w:sz="0" w:space="0" w:color="auto"/>
            <w:left w:val="none" w:sz="0" w:space="0" w:color="auto"/>
            <w:bottom w:val="none" w:sz="0" w:space="0" w:color="auto"/>
            <w:right w:val="none" w:sz="0" w:space="0" w:color="auto"/>
          </w:divBdr>
        </w:div>
        <w:div w:id="1427917385">
          <w:marLeft w:val="0"/>
          <w:marRight w:val="0"/>
          <w:marTop w:val="0"/>
          <w:marBottom w:val="0"/>
          <w:divBdr>
            <w:top w:val="none" w:sz="0" w:space="0" w:color="auto"/>
            <w:left w:val="none" w:sz="0" w:space="0" w:color="auto"/>
            <w:bottom w:val="none" w:sz="0" w:space="0" w:color="auto"/>
            <w:right w:val="none" w:sz="0" w:space="0" w:color="auto"/>
          </w:divBdr>
        </w:div>
        <w:div w:id="1575583564">
          <w:marLeft w:val="0"/>
          <w:marRight w:val="0"/>
          <w:marTop w:val="0"/>
          <w:marBottom w:val="0"/>
          <w:divBdr>
            <w:top w:val="none" w:sz="0" w:space="0" w:color="auto"/>
            <w:left w:val="none" w:sz="0" w:space="0" w:color="auto"/>
            <w:bottom w:val="none" w:sz="0" w:space="0" w:color="auto"/>
            <w:right w:val="none" w:sz="0" w:space="0" w:color="auto"/>
          </w:divBdr>
        </w:div>
        <w:div w:id="607470435">
          <w:marLeft w:val="0"/>
          <w:marRight w:val="0"/>
          <w:marTop w:val="0"/>
          <w:marBottom w:val="0"/>
          <w:divBdr>
            <w:top w:val="none" w:sz="0" w:space="0" w:color="auto"/>
            <w:left w:val="none" w:sz="0" w:space="0" w:color="auto"/>
            <w:bottom w:val="none" w:sz="0" w:space="0" w:color="auto"/>
            <w:right w:val="none" w:sz="0" w:space="0" w:color="auto"/>
          </w:divBdr>
        </w:div>
        <w:div w:id="925385446">
          <w:marLeft w:val="0"/>
          <w:marRight w:val="0"/>
          <w:marTop w:val="0"/>
          <w:marBottom w:val="0"/>
          <w:divBdr>
            <w:top w:val="none" w:sz="0" w:space="0" w:color="auto"/>
            <w:left w:val="none" w:sz="0" w:space="0" w:color="auto"/>
            <w:bottom w:val="none" w:sz="0" w:space="0" w:color="auto"/>
            <w:right w:val="none" w:sz="0" w:space="0" w:color="auto"/>
          </w:divBdr>
        </w:div>
      </w:divsChild>
    </w:div>
    <w:div w:id="2071885243">
      <w:bodyDiv w:val="1"/>
      <w:marLeft w:val="0"/>
      <w:marRight w:val="0"/>
      <w:marTop w:val="0"/>
      <w:marBottom w:val="0"/>
      <w:divBdr>
        <w:top w:val="none" w:sz="0" w:space="0" w:color="auto"/>
        <w:left w:val="none" w:sz="0" w:space="0" w:color="auto"/>
        <w:bottom w:val="none" w:sz="0" w:space="0" w:color="auto"/>
        <w:right w:val="none" w:sz="0" w:space="0" w:color="auto"/>
      </w:divBdr>
      <w:divsChild>
        <w:div w:id="1042826741">
          <w:marLeft w:val="0"/>
          <w:marRight w:val="0"/>
          <w:marTop w:val="0"/>
          <w:marBottom w:val="0"/>
          <w:divBdr>
            <w:top w:val="none" w:sz="0" w:space="0" w:color="auto"/>
            <w:left w:val="none" w:sz="0" w:space="0" w:color="auto"/>
            <w:bottom w:val="none" w:sz="0" w:space="0" w:color="auto"/>
            <w:right w:val="none" w:sz="0" w:space="0" w:color="auto"/>
          </w:divBdr>
        </w:div>
        <w:div w:id="1537428665">
          <w:marLeft w:val="0"/>
          <w:marRight w:val="0"/>
          <w:marTop w:val="0"/>
          <w:marBottom w:val="0"/>
          <w:divBdr>
            <w:top w:val="none" w:sz="0" w:space="0" w:color="auto"/>
            <w:left w:val="none" w:sz="0" w:space="0" w:color="auto"/>
            <w:bottom w:val="none" w:sz="0" w:space="0" w:color="auto"/>
            <w:right w:val="none" w:sz="0" w:space="0" w:color="auto"/>
          </w:divBdr>
        </w:div>
        <w:div w:id="164064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18A6BD-3BED-4D3F-A339-DD3FDA8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962</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Migración del ambiente PROD a QA – Ambientes</vt:lpstr>
    </vt:vector>
  </TitlesOfParts>
  <Company>Hewlett-Packard Company</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para instalar y configurar el cliente GIT</dc:title>
  <dc:creator>Anael F. de Carvallho - Sistemas</dc:creator>
  <cp:lastModifiedBy>Luffi</cp:lastModifiedBy>
  <cp:revision>2</cp:revision>
  <cp:lastPrinted>2013-03-07T17:08:00Z</cp:lastPrinted>
  <dcterms:created xsi:type="dcterms:W3CDTF">2019-07-15T13:04:00Z</dcterms:created>
  <dcterms:modified xsi:type="dcterms:W3CDTF">2019-07-15T13:04:00Z</dcterms:modified>
</cp:coreProperties>
</file>