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  <w:ind w:left="160"/>
      </w:pPr>
      <w:r>
        <w:rPr/>
        <w:t>function detectmob() {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967"/>
        <w:gridCol w:w="967"/>
        <w:gridCol w:w="6514"/>
      </w:tblGrid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75" w:lineRule="exact" w:before="0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75" w:lineRule="exact" w:before="0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75" w:lineRule="exact" w:before="0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spacing w:line="275" w:lineRule="exact" w:before="0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if( navigator.userAgent.match(/Android/i)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|| navigator.userAgent.match(/webOS/i)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|| navigator.userAgent.match(/iPhone/i)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|| navigator.userAgent.match(/iPad/i)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|| navigator.userAgent.match(/iPod/i)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|| navigator.userAgent.match(/BlackBerry/i)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|| navigator.userAgent.match(/Windows Phone/i)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){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tabs>
                <w:tab w:pos="1387" w:val="left" w:leader="none"/>
              </w:tabs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 </w:t>
            </w:r>
            <w:r>
              <w:rPr>
                <w:sz w:val="24"/>
              </w:rPr>
              <w:tab/>
              <w:t>return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true;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}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else {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tabs>
                <w:tab w:pos="1387" w:val="left" w:leader="none"/>
              </w:tabs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 </w:t>
            </w:r>
            <w:r>
              <w:rPr>
                <w:sz w:val="24"/>
              </w:rPr>
              <w:tab/>
              <w:t>return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false;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    </w:t>
            </w:r>
            <w:r>
              <w:rPr>
                <w:sz w:val="24"/>
              </w:rPr>
              <w:t>}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w w:val="100"/>
                <w:sz w:val="24"/>
              </w:rPr>
              <w:t>}</w:t>
            </w:r>
          </w:p>
        </w:tc>
      </w:tr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54" w:lineRule="exact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54" w:lineRule="exact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6514" w:type="dxa"/>
          </w:tcPr>
          <w:p>
            <w:pPr>
              <w:pStyle w:val="TableParagraph"/>
              <w:spacing w:line="254" w:lineRule="exact"/>
              <w:ind w:left="421"/>
              <w:rPr>
                <w:sz w:val="24"/>
              </w:rPr>
            </w:pPr>
            <w:r>
              <w:rPr>
                <w:sz w:val="24"/>
              </w:rPr>
              <w:t>alert(detectmob());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ind w:left="160"/>
      </w:pPr>
      <w:r>
        <w:rPr>
          <w:w w:val="100"/>
        </w:rPr>
        <w:t> </w:t>
      </w:r>
      <w:r>
        <w:rPr/>
        <w:t>移动端返回true</w:t>
      </w:r>
    </w:p>
    <w:sectPr>
      <w:type w:val="continuous"/>
      <w:pgSz w:w="11920" w:h="16840"/>
      <w:pgMar w:top="1140" w:bottom="280" w:left="9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7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2021-03-15T03:13:09Z</dcterms:created>
  <dcterms:modified xsi:type="dcterms:W3CDTF">2021-03-15T03:13:09Z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