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28" w:lineRule="auto"/>
      </w:pPr>
      <w:hyperlink r:id="rId5">
        <w:r>
          <w:rPr/>
          <w:t>remote debug : 请参考http://blog.csdn.net/zmhinzaghi/article/details/5966060</w:t>
        </w:r>
      </w:hyperlink>
      <w:r>
        <w:rPr/>
        <w:t> ， 也可以搜索“tomcat remote debug”</w:t>
      </w:r>
    </w:p>
    <w:sectPr>
      <w:type w:val="continuous"/>
      <w:pgSz w:w="11920" w:h="16840"/>
      <w:pgMar w:top="1140" w:bottom="280" w:left="10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spacing w:before="40"/>
      <w:ind w:left="100" w:right="113"/>
    </w:pPr>
    <w:rPr>
      <w:rFonts w:ascii="宋体" w:hAnsi="宋体" w:eastAsia="宋体" w:cs="宋体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blog.csdn.net/zmhinzaghi/article/details/5966060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2021-03-15T03:10:00Z</dcterms:created>
  <dcterms:modified xsi:type="dcterms:W3CDTF">2021-03-15T03:10:00Z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