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document.xml" ContentType="application/vnd.openxmlformats-officedocument.wordprocessingml.document.main+xml"/>
  <Override PartName="/word/header7.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jc w:val="center"/>
        <w:rPr>
          <w:rFonts w:ascii="Times New Roman" w:hAnsi="Times New Roman"/>
          <w:sz w:val="24"/>
          <w:szCs w:val="24"/>
        </w:rPr>
      </w:pPr>
      <w:r>
        <w:rPr>
          <w:rFonts w:ascii="Times New Roman" w:hAnsi="Times New Roman"/>
          <w:sz w:val="24"/>
          <w:szCs w:val="24"/>
        </w:rPr>
        <w:t>UNIVERSIDADE FEDERAL DE MINAS GERAIS</w:t>
      </w:r>
    </w:p>
    <w:p>
      <w:pPr>
        <w:pStyle w:val="PreformattedText"/>
        <w:bidi w:val="0"/>
        <w:jc w:val="center"/>
        <w:rPr>
          <w:rFonts w:ascii="Times New Roman" w:hAnsi="Times New Roman"/>
          <w:sz w:val="24"/>
          <w:szCs w:val="24"/>
        </w:rPr>
      </w:pPr>
      <w:r>
        <w:rPr>
          <w:rFonts w:ascii="Times New Roman" w:hAnsi="Times New Roman"/>
          <w:sz w:val="24"/>
          <w:szCs w:val="24"/>
        </w:rPr>
        <w:t>Instituto de Ciências Biológicas</w:t>
      </w:r>
    </w:p>
    <w:p>
      <w:pPr>
        <w:pStyle w:val="PreformattedText"/>
        <w:bidi w:val="0"/>
        <w:jc w:val="center"/>
        <w:rPr>
          <w:rFonts w:ascii="Times New Roman" w:hAnsi="Times New Roman"/>
          <w:sz w:val="24"/>
          <w:szCs w:val="24"/>
        </w:rPr>
      </w:pPr>
      <w:r>
        <w:rPr>
          <w:rFonts w:ascii="Times New Roman" w:hAnsi="Times New Roman"/>
          <w:sz w:val="24"/>
          <w:szCs w:val="24"/>
        </w:rPr>
        <w:t>Programa de Pós-Graduação em Genética</w:t>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t>Qualificação de Doutorado</w:t>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b/>
          <w:bCs/>
          <w:sz w:val="24"/>
          <w:szCs w:val="24"/>
        </w:rPr>
      </w:pPr>
      <w:r>
        <w:rPr>
          <w:rFonts w:ascii="Times New Roman" w:hAnsi="Times New Roman"/>
          <w:b/>
          <w:bCs/>
          <w:sz w:val="24"/>
          <w:szCs w:val="24"/>
        </w:rPr>
        <w:t>Evolutionary dynamics and population genomics of hybridisation</w:t>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end"/>
        <w:rPr>
          <w:rFonts w:ascii="Times New Roman" w:hAnsi="Times New Roman"/>
          <w:sz w:val="24"/>
          <w:szCs w:val="24"/>
        </w:rPr>
      </w:pPr>
      <w:r>
        <w:rPr>
          <w:rFonts w:ascii="Times New Roman" w:hAnsi="Times New Roman"/>
          <w:sz w:val="24"/>
          <w:szCs w:val="24"/>
        </w:rPr>
        <w:t>Maycon Douglas de Oliveira</w:t>
      </w:r>
    </w:p>
    <w:p>
      <w:pPr>
        <w:pStyle w:val="PreformattedText"/>
        <w:bidi w:val="0"/>
        <w:jc w:val="end"/>
        <w:rPr>
          <w:rFonts w:ascii="Times New Roman" w:hAnsi="Times New Roman"/>
          <w:sz w:val="24"/>
          <w:szCs w:val="24"/>
        </w:rPr>
      </w:pPr>
      <w:r>
        <w:rPr>
          <w:rFonts w:ascii="Times New Roman" w:hAnsi="Times New Roman"/>
          <w:sz w:val="24"/>
          <w:szCs w:val="24"/>
        </w:rPr>
        <w:t>Orientador: Fabrício Rodrigues dos Santos</w:t>
      </w:r>
    </w:p>
    <w:p>
      <w:pPr>
        <w:pStyle w:val="PreformattedText"/>
        <w:bidi w:val="0"/>
        <w:jc w:val="end"/>
        <w:rPr>
          <w:rFonts w:ascii="Times New Roman" w:hAnsi="Times New Roman"/>
          <w:sz w:val="24"/>
          <w:szCs w:val="24"/>
        </w:rPr>
      </w:pPr>
      <w:r>
        <w:rPr>
          <w:rFonts w:ascii="Times New Roman" w:hAnsi="Times New Roman"/>
          <w:sz w:val="24"/>
          <w:szCs w:val="24"/>
        </w:rPr>
        <w:t>Co-orientador: Ricardo José do Nascimento Pereira</w:t>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r>
    </w:p>
    <w:p>
      <w:pPr>
        <w:pStyle w:val="PreformattedText"/>
        <w:bidi w:val="0"/>
        <w:jc w:val="center"/>
        <w:rPr>
          <w:rFonts w:ascii="Times New Roman" w:hAnsi="Times New Roman"/>
          <w:sz w:val="24"/>
          <w:szCs w:val="24"/>
        </w:rPr>
      </w:pPr>
      <w:r>
        <w:rPr>
          <w:rFonts w:ascii="Times New Roman" w:hAnsi="Times New Roman"/>
          <w:sz w:val="24"/>
          <w:szCs w:val="24"/>
        </w:rPr>
        <w:t>Belo Horizonte</w:t>
      </w:r>
    </w:p>
    <w:p>
      <w:pPr>
        <w:sectPr>
          <w:headerReference w:type="even" r:id="rId2"/>
          <w:headerReference w:type="default" r:id="rId3"/>
          <w:headerReference w:type="first" r:id="rId4"/>
          <w:type w:val="nextPage"/>
          <w:pgSz w:w="11906" w:h="16838"/>
          <w:pgMar w:left="1701" w:right="1134" w:gutter="0" w:header="0" w:top="1701" w:footer="0" w:bottom="1134"/>
          <w:pgNumType w:fmt="decimal"/>
          <w:formProt w:val="false"/>
          <w:titlePg/>
          <w:textDirection w:val="lrTb"/>
          <w:docGrid w:type="default" w:linePitch="100" w:charSpace="0"/>
        </w:sectPr>
        <w:pStyle w:val="PreformattedText"/>
        <w:bidi w:val="0"/>
        <w:jc w:val="center"/>
        <w:rPr>
          <w:rFonts w:ascii="Times New Roman" w:hAnsi="Times New Roman"/>
          <w:sz w:val="24"/>
          <w:szCs w:val="24"/>
        </w:rPr>
      </w:pPr>
      <w:r>
        <w:rPr>
          <w:rFonts w:ascii="Times New Roman" w:hAnsi="Times New Roman"/>
          <w:sz w:val="24"/>
          <w:szCs w:val="24"/>
        </w:rPr>
        <w:t>Abril de 2025</w:t>
      </w:r>
      <w:r>
        <w:br w:type="page"/>
      </w:r>
    </w:p>
    <w:p>
      <w:pPr>
        <w:pStyle w:val="TOCHeading"/>
        <w:bidi w:val="0"/>
        <w:spacing w:before="0" w:after="850"/>
        <w:rPr/>
      </w:pPr>
      <w:r>
        <w:rPr/>
        <w:t>Abstract</w:t>
      </w:r>
    </w:p>
    <w:p>
      <w:pPr>
        <w:pStyle w:val="BodyText"/>
        <w:bidi w:val="0"/>
        <w:rPr/>
      </w:pPr>
      <w:r>
        <w:rPr/>
        <w:t xml:space="preserve">The interbreeding of closely related species or populations may result in the formation of a hybrid offspring. With the fast growing amassing of data and the more in depth studies of natural populations, it was possible to assert that hybridisation happens in nature more often than what was previously believed, which brought back discussions about the evolutionary role of this phenomenon. Still, there are few studies which focus on the evolutionary dynamics of hybrid populations at the genomic level – particularly in regards to conservation and biodiversity, a situation that is changing thanks to an increased availability of high-quality reference genomes for non-model species. Our goal with this work is to achieve a better understanding of the influence of evolutionary phenomena – such as selection, drift and linkage disequilibrium – and their respective consequences in the genomes of hybrids. As a first step, we obtained re-sequencing data of four species of sea turtles, together with new high-quality reference genomes. These organisms are a fitting model for this study, given that hybridisation is a phenomenon previously reported to occur in these species. Furthermore, all living species of sea turtles are considered as being endangered, making them of high importance for conservation. Before we can analyse the evolutionary dynamics of the genomes of hybrids between these species, it is essential to properly understand the population structure and the extent of hybridisation. With that in mid, we used a reference-based approach to analyse genomic variants of samples that were previously published but not exhaustively explored. Through those analyses, we were able to identify that the major axis of hybridisation is between </w:t>
      </w:r>
      <w:r>
        <w:rPr>
          <w:i/>
          <w:iCs/>
        </w:rPr>
        <w:t>Caretta caretta</w:t>
      </w:r>
      <w:r>
        <w:rPr>
          <w:i w:val="false"/>
          <w:iCs w:val="false"/>
        </w:rPr>
        <w:t xml:space="preserve"> and </w:t>
      </w:r>
      <w:r>
        <w:rPr>
          <w:i/>
          <w:iCs/>
        </w:rPr>
        <w:t>Eretmochelys imbricata</w:t>
      </w:r>
      <w:r>
        <w:rPr>
          <w:i w:val="false"/>
          <w:iCs w:val="false"/>
        </w:rPr>
        <w:t xml:space="preserve">, with the presence of first-generation hybrids. We also identified, with a high degree of confidence, evidences of second-generation hybrids, backcrosses and potential introgression events. We also observed, at a lower rate, the existence of hybrids involving </w:t>
      </w:r>
      <w:r>
        <w:rPr>
          <w:i/>
          <w:iCs/>
        </w:rPr>
        <w:t>Lepidochelys olivacea</w:t>
      </w:r>
      <w:r>
        <w:rPr>
          <w:i w:val="false"/>
          <w:iCs w:val="false"/>
        </w:rPr>
        <w:t xml:space="preserve"> and </w:t>
      </w:r>
      <w:r>
        <w:rPr>
          <w:i/>
          <w:iCs/>
        </w:rPr>
        <w:t>Chelonia mydas –</w:t>
      </w:r>
      <w:r>
        <w:rPr>
          <w:i w:val="false"/>
          <w:iCs w:val="false"/>
        </w:rPr>
        <w:t xml:space="preserve"> the latter having diverged from the rest more than 40 million years ago. Additionally, we found evidences of hybrids between three species, a result that suggests that sea turtle hybrids can be fertile and potentially interbreed with another unrelated species. The next steps will consist of the higher-coverage whole-genome re-sequencing of a few select samples, followed by the identification of genomic regions of particular interest – such as ancestrally-homozygous blocks – for the evaluation of hybrid incompatibilities, barriers to introgression, potentially adaptive hybrid loci and the analysis of evidences of selection. Finally, all of these analyses are going to be integrated and standardised in a pipeline that can be transferred to other taxa. Our overarching goal is to be able to contribute with the understanding of the impact of hybrids in key species for biodiversity conservation in a genomic level, within an evolutionary context.</w:t>
      </w:r>
    </w:p>
    <w:p>
      <w:pPr>
        <w:pStyle w:val="BodyText"/>
        <w:bidi w:val="0"/>
        <w:rPr/>
      </w:pPr>
      <w:r>
        <w:rPr>
          <w:b/>
          <w:bCs/>
        </w:rPr>
        <w:t>Keywords</w:t>
      </w:r>
      <w:r>
        <w:rPr/>
        <w:t xml:space="preserve">: </w:t>
      </w:r>
      <w:r>
        <w:rPr/>
        <w:t>hybridisation</w:t>
      </w:r>
      <w:r>
        <w:rPr/>
        <w:t xml:space="preserve">, </w:t>
      </w:r>
      <w:r>
        <w:rPr/>
        <w:t>genomics</w:t>
      </w:r>
      <w:r>
        <w:rPr/>
        <w:t xml:space="preserve">, </w:t>
      </w:r>
      <w:r>
        <w:rPr/>
        <w:t>pipeline</w:t>
      </w:r>
      <w:r>
        <w:rPr/>
        <w:t xml:space="preserve">, </w:t>
      </w:r>
      <w:r>
        <w:rPr/>
        <w:t>evolution</w:t>
      </w:r>
      <w:r>
        <w:rPr/>
        <w:t xml:space="preserve">, </w:t>
      </w:r>
      <w:r>
        <w:rPr/>
        <w:t>sea turtles</w:t>
      </w:r>
      <w:r>
        <w:rPr/>
        <w:t>.</w:t>
      </w:r>
      <w:r>
        <w:br w:type="page"/>
      </w:r>
    </w:p>
    <w:p>
      <w:pPr>
        <w:pStyle w:val="TOCHeading"/>
        <w:bidi w:val="0"/>
        <w:spacing w:before="0" w:after="850"/>
        <w:rPr/>
      </w:pPr>
      <w:r>
        <w:rPr/>
        <w:t>Resumo</w:t>
      </w:r>
    </w:p>
    <w:p>
      <w:pPr>
        <w:pStyle w:val="BodyText"/>
        <w:bidi w:val="0"/>
        <w:rPr/>
      </w:pPr>
      <w:r>
        <w:rPr/>
        <w:t xml:space="preserve">O intercruzamento de populações ou espécies aparentadas pode resultar na formação de uma prole híbrida. Com o acúmulo de dados e o estudo mais aprofundado de populações naturais, foi possível averiguar que a hibridação ocorre na natureza com uma frequência maior do que antes se acreditava, trazendo à tona discussões sobre o papel evolutivo deste fenômeno. Entretanto, há poucos estudos focados nas dinâmicas evolutivas ao nível genômico de populações híbridas, especialmente em relação a conservação e biodiversidade, cenário que tem se alterado graças à maior disponibilidade de genomas de referência de alta qualidade de espécies não-modelo. Nosso objetivo, neste trabalho, é compreender a influência de fenômenos evolutivos - como seleção, deriva e desequilíbrio de ligação - e suas consequências em genomas de híbridos. Em primeiro momento, obtivemos acesso a dados de ressequenciamento de quatro espécies de tartarugas marinhas, aliados a novos genomas de referência de alta qualidade. Estes organismos representam um modelo adequado para o estudo proposto, visto que a hibridação é um fenômeno já descrito </w:t>
      </w:r>
      <w:r>
        <w:rPr/>
        <w:t>n</w:t>
      </w:r>
      <w:r>
        <w:rPr/>
        <w:t xml:space="preserve">estas espécies. Ademais, todas as espécies viventes de tartarugas marinhas são consideradas ameaçadas de extinção, tornando-as de grande importância para a conservação. Antes de analisar a dinâmica evolutiva de genomas de híbridos destas espécies, é essencial entender a estrutura populacional e o nível de hibridação. Com isso, utilizamos uma abordagem por referência para analisar os dados de variantes genômicas de amostras previamente publicadas – mas não extensamente exploradas. Através destas análises, observamos que o maior eixo de hibridação ocorre entre as espécies </w:t>
      </w:r>
      <w:r>
        <w:rPr>
          <w:i/>
          <w:iCs/>
        </w:rPr>
        <w:t>Caretta caretta</w:t>
      </w:r>
      <w:r>
        <w:rPr/>
        <w:t xml:space="preserve"> e </w:t>
      </w:r>
      <w:r>
        <w:rPr>
          <w:i/>
          <w:iCs/>
        </w:rPr>
        <w:t>Eretmochelys imbricata</w:t>
      </w:r>
      <w:r>
        <w:rPr/>
        <w:t xml:space="preserve">, com a presença de híbridos de primeira geração. Também identificamos, com alta confiabilidade, evidências de híbridos de segunda geração, retrocruzamentos e </w:t>
      </w:r>
      <w:r>
        <w:rPr/>
        <w:t xml:space="preserve">potenciais eventos de </w:t>
      </w:r>
      <w:r>
        <w:rPr/>
        <w:t xml:space="preserve">introgressão. Em menor frequência, foram observados híbridos envolvendo </w:t>
      </w:r>
      <w:r>
        <w:rPr>
          <w:i/>
          <w:iCs/>
        </w:rPr>
        <w:t>Lepidochelys olivacea</w:t>
      </w:r>
      <w:r>
        <w:rPr/>
        <w:t xml:space="preserve"> e </w:t>
      </w:r>
      <w:r>
        <w:rPr>
          <w:i/>
          <w:iCs/>
        </w:rPr>
        <w:t>Chelonia mydas</w:t>
      </w:r>
      <w:r>
        <w:rPr/>
        <w:t xml:space="preserve">, espécie que divergiu das demais a mais de 40 milhões de anos. Adicionalmente, encontramos evidências de híbridos entre três espécies, o que sugere que híbridos de tartarugas marinhas podem ser férteis e potencialmente retrocruzar com indivíduos de espécies não relacionadas. Os próximos passos envolverão o ressequenciamento de genoma completo, de maior cobertura, para algumas amostras selecionadas, a identificação de segmentos genômicos de interesse - como blocos de homozigose parental – para a avaliação de incompatibilidades híbridas, barreiras de introgressão, loci híbridos potencialmente adaptativos, e a análise de evidências de seleção. Por fim, estas análises serão integradas e padronizadas em uma </w:t>
      </w:r>
      <w:r>
        <w:rPr>
          <w:i/>
          <w:iCs/>
        </w:rPr>
        <w:t>pipeline</w:t>
      </w:r>
      <w:r>
        <w:rPr/>
        <w:t xml:space="preserve"> que poderá ser transferida para outros organismos Objetivamos contribuir para a compreensão sobre o impacto de híbridos em espécies-chave para a conservação da biodiversidade a nível genômico e em um contexto evolutivo.</w:t>
      </w:r>
    </w:p>
    <w:p>
      <w:pPr>
        <w:pStyle w:val="BodyText"/>
        <w:bidi w:val="0"/>
        <w:rPr/>
      </w:pPr>
      <w:r>
        <w:rPr>
          <w:b/>
          <w:bCs/>
        </w:rPr>
        <w:t>Palavras-chave</w:t>
      </w:r>
      <w:r>
        <w:rPr/>
        <w:t xml:space="preserve">: hibridação, genômica, </w:t>
      </w:r>
      <w:r>
        <w:rPr>
          <w:i/>
          <w:iCs/>
        </w:rPr>
        <w:t>pipeline</w:t>
      </w:r>
      <w:r>
        <w:rPr/>
        <w:t>, evolução, tartarugas marinhas.</w:t>
      </w:r>
    </w:p>
    <w:sdt>
      <w:sdtPr>
        <w:docPartObj>
          <w:docPartGallery w:val="Table of Contents"/>
          <w:docPartUnique w:val="true"/>
        </w:docPartObj>
      </w:sdtPr>
      <w:sdtContent>
        <w:p>
          <w:pPr>
            <w:pStyle w:val="TOCHeading"/>
            <w:rPr/>
          </w:pPr>
          <w:r>
            <w:br w:type="page"/>
          </w:r>
          <w:r>
            <w:rPr/>
            <w:t>Table of Contents</w:t>
          </w:r>
        </w:p>
        <w:p>
          <w:pPr>
            <w:pStyle w:val="TOC1"/>
            <w:tabs>
              <w:tab w:val="clear" w:pos="9071"/>
              <w:tab w:val="right" w:pos="9070" w:leader="dot"/>
            </w:tabs>
            <w:rPr/>
          </w:pPr>
          <w:r>
            <w:fldChar w:fldCharType="begin"/>
          </w:r>
          <w:r>
            <w:rPr>
              <w:rStyle w:val="IndexLink"/>
            </w:rPr>
            <w:instrText xml:space="preserve"> TOC \f \o "1-9" \h</w:instrText>
          </w:r>
          <w:r>
            <w:rPr>
              <w:rStyle w:val="IndexLink"/>
            </w:rPr>
            <w:fldChar w:fldCharType="separate"/>
          </w:r>
          <w:hyperlink w:anchor="__RefHeading___Toc2_1856080543">
            <w:r>
              <w:rPr>
                <w:rStyle w:val="IndexLink"/>
              </w:rPr>
              <w:t>4 Materials and methods</w:t>
              <w:tab/>
              <w:t>6</w:t>
            </w:r>
          </w:hyperlink>
        </w:p>
        <w:p>
          <w:pPr>
            <w:pStyle w:val="TOC2"/>
            <w:tabs>
              <w:tab w:val="clear" w:pos="9071"/>
              <w:tab w:val="right" w:pos="9070" w:leader="dot"/>
            </w:tabs>
            <w:rPr/>
          </w:pPr>
          <w:hyperlink w:anchor="__RefHeading___Toc106_4022927360">
            <w:r>
              <w:rPr>
                <w:rStyle w:val="IndexLink"/>
              </w:rPr>
              <w:t>4.1 Samples</w:t>
              <w:tab/>
              <w:t>6</w:t>
            </w:r>
          </w:hyperlink>
        </w:p>
        <w:p>
          <w:pPr>
            <w:pStyle w:val="TOC2"/>
            <w:tabs>
              <w:tab w:val="clear" w:pos="9071"/>
              <w:tab w:val="right" w:pos="9070" w:leader="dot"/>
            </w:tabs>
            <w:rPr/>
          </w:pPr>
          <w:hyperlink w:anchor="__RefHeading___Toc490_1518100382">
            <w:r>
              <w:rPr>
                <w:rStyle w:val="IndexLink"/>
              </w:rPr>
              <w:t>4.2 Read mapping and quality control</w:t>
              <w:tab/>
              <w:t>7</w:t>
            </w:r>
          </w:hyperlink>
        </w:p>
        <w:p>
          <w:pPr>
            <w:pStyle w:val="TOC2"/>
            <w:tabs>
              <w:tab w:val="clear" w:pos="9071"/>
              <w:tab w:val="right" w:pos="9070" w:leader="dot"/>
            </w:tabs>
            <w:rPr/>
          </w:pPr>
          <w:hyperlink w:anchor="__RefHeading___Toc492_1518100382">
            <w:r>
              <w:rPr>
                <w:rStyle w:val="IndexLink"/>
              </w:rPr>
              <w:t>4.3 Genotype likelihoods estimation and genotype calling</w:t>
              <w:tab/>
              <w:t>7</w:t>
            </w:r>
          </w:hyperlink>
        </w:p>
        <w:p>
          <w:pPr>
            <w:pStyle w:val="TOC2"/>
            <w:tabs>
              <w:tab w:val="clear" w:pos="9071"/>
              <w:tab w:val="right" w:pos="9070" w:leader="dot"/>
            </w:tabs>
            <w:rPr/>
          </w:pPr>
          <w:hyperlink w:anchor="__RefHeading___Toc494_1518100382">
            <w:r>
              <w:rPr>
                <w:rStyle w:val="IndexLink"/>
              </w:rPr>
              <w:t>4.4 Population genetics analyses: PCA and ADMIXTURE</w:t>
              <w:tab/>
              <w:t>8</w:t>
            </w:r>
          </w:hyperlink>
        </w:p>
        <w:p>
          <w:pPr>
            <w:pStyle w:val="TOC2"/>
            <w:tabs>
              <w:tab w:val="clear" w:pos="9071"/>
              <w:tab w:val="right" w:pos="9070" w:leader="dot"/>
            </w:tabs>
            <w:rPr/>
          </w:pPr>
          <w:hyperlink w:anchor="__RefHeading___Toc496_1518100382">
            <w:r>
              <w:rPr>
                <w:rStyle w:val="IndexLink"/>
              </w:rPr>
              <w:t>4.5 Additional analyses and plots</w:t>
              <w:tab/>
              <w:t>9</w:t>
            </w:r>
          </w:hyperlink>
        </w:p>
        <w:p>
          <w:pPr>
            <w:pStyle w:val="TOC1"/>
            <w:tabs>
              <w:tab w:val="clear" w:pos="9071"/>
              <w:tab w:val="right" w:pos="9070" w:leader="dot"/>
            </w:tabs>
            <w:rPr/>
          </w:pPr>
          <w:hyperlink w:anchor="__RefHeading___Toc498_1518100382">
            <w:r>
              <w:rPr>
                <w:rStyle w:val="IndexLink"/>
              </w:rPr>
              <w:t>5 RESULTS AND DISCUSSION</w:t>
              <w:tab/>
              <w:t>9</w:t>
            </w:r>
          </w:hyperlink>
        </w:p>
        <w:p>
          <w:pPr>
            <w:pStyle w:val="TOC2"/>
            <w:tabs>
              <w:tab w:val="clear" w:pos="9071"/>
              <w:tab w:val="right" w:pos="9070" w:leader="dot"/>
            </w:tabs>
            <w:rPr/>
          </w:pPr>
          <w:hyperlink w:anchor="__RefHeading___Toc500_1518100382">
            <w:r>
              <w:rPr>
                <w:rStyle w:val="IndexLink"/>
              </w:rPr>
              <w:t>5.1 Data harmonisation, mapping and variant calling</w:t>
              <w:tab/>
              <w:t>9</w:t>
            </w:r>
          </w:hyperlink>
        </w:p>
        <w:p>
          <w:pPr>
            <w:pStyle w:val="TOC2"/>
            <w:tabs>
              <w:tab w:val="clear" w:pos="9071"/>
              <w:tab w:val="right" w:pos="9070" w:leader="dot"/>
            </w:tabs>
            <w:rPr/>
          </w:pPr>
          <w:hyperlink w:anchor="__RefHeading___Toc502_1518100382">
            <w:r>
              <w:rPr>
                <w:rStyle w:val="IndexLink"/>
              </w:rPr>
              <w:t>5.2 Population structure analyses</w:t>
              <w:tab/>
              <w:t>10</w:t>
            </w:r>
          </w:hyperlink>
          <w:r>
            <w:rPr>
              <w:rStyle w:val="IndexLink"/>
            </w:rPr>
            <w:fldChar w:fldCharType="end"/>
          </w:r>
        </w:p>
        <w:p>
          <w:pPr>
            <w:sectPr>
              <w:headerReference w:type="even" r:id="rId5"/>
              <w:headerReference w:type="default" r:id="rId6"/>
              <w:headerReference w:type="first" r:id="rId7"/>
              <w:type w:val="nextPage"/>
              <w:pgSz w:w="11906" w:h="16838"/>
              <w:pgMar w:left="1701" w:right="1134" w:gutter="0" w:header="0" w:top="1701" w:footer="0" w:bottom="1134"/>
              <w:pgNumType w:start="1" w:fmt="decimal"/>
              <w:formProt w:val="false"/>
              <w:textDirection w:val="lrTb"/>
              <w:docGrid w:type="default" w:linePitch="100" w:charSpace="0"/>
            </w:sectPr>
          </w:pPr>
          <w:r>
            <w:br w:type="page"/>
          </w:r>
        </w:p>
      </w:sdtContent>
    </w:sdt>
    <w:p>
      <w:pPr>
        <w:pStyle w:val="Heading1"/>
        <w:numPr>
          <w:ilvl w:val="0"/>
          <w:numId w:val="1"/>
        </w:numPr>
        <w:bidi w:val="0"/>
        <w:spacing w:before="0" w:after="850"/>
        <w:ind w:hanging="0" w:start="0"/>
        <w:rPr/>
      </w:pPr>
      <w:r>
        <w:rPr/>
        <w:t>2 Justification</w:t>
      </w:r>
    </w:p>
    <w:p>
      <w:pPr>
        <w:pStyle w:val="BodyText"/>
        <w:bidi w:val="0"/>
        <w:spacing w:before="0" w:after="0"/>
        <w:ind w:hanging="0" w:start="0"/>
        <w:contextualSpacing w:val="false"/>
        <w:rPr/>
      </w:pPr>
      <w:r>
        <w:rPr/>
        <w:t xml:space="preserve">The role of hybrids in the maintenance of genetic diversity is still poorly understood. Yet, many species considered to be threatened are known to hybridise </w:t>
      </w:r>
      <w:r>
        <w:rPr>
          <w:shd w:fill="FFFF00" w:val="clear"/>
        </w:rPr>
        <w:t>(Ref)</w:t>
      </w:r>
      <w:r>
        <w:rPr/>
        <w:t xml:space="preserve">. Thus, it is paramount to both appreciate and comprehend the impact of said hybrids when developing conservation strategies. Within each system, we can expect to see distinct impacts of hybridisation that could be partially explained by the origins of this phenomenon – i.e. if it is mostly anthropogenic in nature, or if it is known to naturally occur. Therefore, by implementing and properly condensing a wide set of genomic analyses of inter-specific hybrids, we hope not only to enable, but also to hasten similar works to be done for other threatened taxa. In lieu of the ever-accelerating rate of extinction we are observing in the Holocene </w:t>
      </w:r>
      <w:r>
        <w:rPr>
          <w:shd w:fill="FFFF00" w:val="clear"/>
        </w:rPr>
        <w:t>(Ref)</w:t>
      </w:r>
      <w:r>
        <w:rPr/>
        <w:t>, facilitating and quickening studies of endangered species is as useful and impactful as it has ever been.</w:t>
      </w:r>
    </w:p>
    <w:p>
      <w:pPr>
        <w:pStyle w:val="BodyTextFirstIndent"/>
        <w:bidi w:val="0"/>
        <w:spacing w:before="0" w:after="0"/>
        <w:ind w:hanging="0" w:start="0"/>
        <w:contextualSpacing w:val="false"/>
        <w:rPr/>
      </w:pPr>
      <w:r>
        <w:rPr/>
      </w:r>
    </w:p>
    <w:p>
      <w:pPr>
        <w:pStyle w:val="Heading1"/>
        <w:numPr>
          <w:ilvl w:val="0"/>
          <w:numId w:val="1"/>
        </w:numPr>
        <w:ind w:hanging="0" w:start="0"/>
        <w:rPr/>
      </w:pPr>
      <w:r>
        <w:rPr/>
        <w:t>3 objectives</w:t>
      </w:r>
    </w:p>
    <w:p>
      <w:pPr>
        <w:pStyle w:val="BodyText"/>
        <w:rPr/>
      </w:pPr>
      <w:r>
        <w:rPr/>
        <w:t>The overarching goal of my thesis is to understand the functional impacts of different evolutionary phenomena on the genomes of inter-specific hybrids among species considered to be critical for conservation efforts and biodiversity maintenance. Within the scope of this part of the work, our general goal is to analyse the extent of hybridisation, the population structure and genetic diversity of four species of sea turtles and their hybrids. More specifically, this consists of:</w:t>
      </w:r>
    </w:p>
    <w:p>
      <w:pPr>
        <w:pStyle w:val="BodyTextFirstIndent"/>
        <w:numPr>
          <w:ilvl w:val="0"/>
          <w:numId w:val="2"/>
        </w:numPr>
        <w:rPr/>
      </w:pPr>
      <w:r>
        <w:rPr/>
        <w:t>evaluating the feasibility of combining data from distinct restriction-site associated sequencing studies into a single, more extensive and well-represented dataset;</w:t>
      </w:r>
    </w:p>
    <w:p>
      <w:pPr>
        <w:pStyle w:val="BodyTextFirstIndent"/>
        <w:numPr>
          <w:ilvl w:val="0"/>
          <w:numId w:val="2"/>
        </w:numPr>
        <w:rPr/>
      </w:pPr>
      <w:r>
        <w:rPr/>
        <w:t>performing the identification of variant loci among our samples, using a reference-based approach, thanks to the availability of new, high-quality sea turtle reference genomes;</w:t>
      </w:r>
    </w:p>
    <w:p>
      <w:pPr>
        <w:pStyle w:val="BodyTextFirstIndent"/>
        <w:numPr>
          <w:ilvl w:val="0"/>
          <w:numId w:val="2"/>
        </w:numPr>
        <w:rPr/>
      </w:pPr>
      <w:r>
        <w:rPr/>
        <w:t>estimating the impact of potential reference biases on the number and distribution of recovered variant loci;</w:t>
      </w:r>
    </w:p>
    <w:p>
      <w:pPr>
        <w:pStyle w:val="BodyTextFirstIndent"/>
        <w:numPr>
          <w:ilvl w:val="0"/>
          <w:numId w:val="2"/>
        </w:numPr>
        <w:rPr/>
      </w:pPr>
      <w:r>
        <w:rPr/>
        <w:t>positively identifying hybrids and their respective generations, being able to differentiate between first-generation, second-generation and back-crossed hybrids as well as samples with evidences of introgression;</w:t>
      </w:r>
    </w:p>
    <w:p>
      <w:pPr>
        <w:pStyle w:val="BodyTextFirstIndent"/>
        <w:numPr>
          <w:ilvl w:val="0"/>
          <w:numId w:val="2"/>
        </w:numPr>
        <w:rPr/>
      </w:pPr>
      <w:r>
        <w:rPr/>
        <w:t>quantifying the within-population genetic diversity and investigating intra-specific population structuring;</w:t>
      </w:r>
    </w:p>
    <w:p>
      <w:pPr>
        <w:pStyle w:val="BodyTextFirstIndent"/>
        <w:numPr>
          <w:ilvl w:val="0"/>
          <w:numId w:val="2"/>
        </w:numPr>
        <w:rPr/>
      </w:pPr>
      <w:r>
        <w:rPr/>
        <w:t>identifying genomic regions with evidence of being barriers to gene flow.</w:t>
      </w:r>
    </w:p>
    <w:p>
      <w:pPr>
        <w:pStyle w:val="Heading1"/>
        <w:numPr>
          <w:ilvl w:val="0"/>
          <w:numId w:val="1"/>
        </w:numPr>
        <w:bidi w:val="0"/>
        <w:spacing w:before="0" w:after="0"/>
        <w:ind w:hanging="0" w:start="0"/>
        <w:rPr/>
      </w:pPr>
      <w:r>
        <w:rPr/>
      </w:r>
    </w:p>
    <w:p>
      <w:pPr>
        <w:pStyle w:val="Heading1"/>
        <w:numPr>
          <w:ilvl w:val="0"/>
          <w:numId w:val="1"/>
        </w:numPr>
        <w:bidi w:val="0"/>
        <w:spacing w:before="0" w:after="850"/>
        <w:ind w:hanging="0" w:start="0"/>
        <w:rPr/>
      </w:pPr>
      <w:bookmarkStart w:id="0" w:name="__RefHeading___Toc2_1856080543"/>
      <w:bookmarkEnd w:id="0"/>
      <w:r>
        <w:rPr/>
        <w:t>4 Materials and methods</w:t>
      </w:r>
    </w:p>
    <w:p>
      <w:pPr>
        <w:pStyle w:val="BodyText"/>
        <w:bidi w:val="0"/>
        <w:rPr/>
      </w:pPr>
      <w:r>
        <w:rPr/>
        <w:t xml:space="preserve">All of the analyses were performed within three computing environments: the </w:t>
      </w:r>
      <w:r>
        <w:rPr>
          <w:i/>
          <w:iCs/>
        </w:rPr>
        <w:t>Curta</w:t>
      </w:r>
      <w:r>
        <w:rPr/>
        <w:t xml:space="preserve"> High Performance Computing (HPC) system, from the Freie Universität Berlin </w:t>
      </w:r>
      <w:bookmarkStart w:id="1" w:name="ZOTERO_BREF_RMgrycNuEBuN"/>
      <w:r>
        <w:rPr/>
        <w:t>(1)</w:t>
      </w:r>
      <w:bookmarkEnd w:id="1"/>
      <w:r>
        <w:rPr/>
        <w:t xml:space="preserve">; our lab server, </w:t>
      </w:r>
      <w:r>
        <w:rPr>
          <w:i/>
          <w:iCs/>
        </w:rPr>
        <w:t>Darwin</w:t>
      </w:r>
      <w:r>
        <w:rPr>
          <w:i w:val="false"/>
          <w:iCs w:val="false"/>
        </w:rPr>
        <w:t xml:space="preserve">, a Dell Technologies model PowerEdge R940xa station with four 20-core, 40-thread Intel Xeon Gold 6230 processors and 64 gigabytes (GB) of random access memory (RAM); and </w:t>
      </w:r>
      <w:r>
        <w:rPr>
          <w:i/>
          <w:iCs/>
        </w:rPr>
        <w:t>Sagarana</w:t>
      </w:r>
      <w:r>
        <w:rPr>
          <w:i w:val="false"/>
          <w:iCs w:val="false"/>
        </w:rPr>
        <w:t>, the HPC system of the Institute of Biological Sciences (ICB) of the Federal University of Minas Gerais (UFMG).</w:t>
      </w:r>
    </w:p>
    <w:p>
      <w:pPr>
        <w:pStyle w:val="Heading2"/>
        <w:numPr>
          <w:ilvl w:val="1"/>
          <w:numId w:val="1"/>
        </w:numPr>
        <w:bidi w:val="0"/>
        <w:ind w:hanging="0" w:start="0"/>
        <w:rPr/>
      </w:pPr>
      <w:bookmarkStart w:id="2" w:name="__RefHeading___Toc106_4022927360"/>
      <w:bookmarkEnd w:id="2"/>
      <w:r>
        <w:rPr/>
        <w:t>4.1 Samples</w:t>
      </w:r>
    </w:p>
    <w:p>
      <w:pPr>
        <w:pStyle w:val="BodyText"/>
        <w:bidi w:val="0"/>
        <w:rPr/>
      </w:pPr>
      <w:r>
        <w:rPr/>
        <w:t xml:space="preserve">All samples were sequenced, analysed and published in previous works  </w:t>
      </w:r>
      <w:bookmarkStart w:id="3" w:name="ZOTERO_BREF_Ay6hvM6bVh9s"/>
      <w:r>
        <w:rPr/>
        <w:t>(2, 3)</w:t>
      </w:r>
      <w:bookmarkEnd w:id="3"/>
      <w:r>
        <w:rPr/>
        <w:t xml:space="preserve">. Direct access to the quality-trimmed FASTQ files for all samples, as well as the assembled reference genomes (unpublished) was provided by Dr. Larissa Arantes and Dr. Camila Mazzoni from the Berlin Centre for Genomics in Biodiversity Research (BeGenDiv), through personal communication. Samples were gathered between 2003 and 2018, with both targeted and opportunistic sampling efforts, along the eastern coast of Brazil, a part of the Southern Caribbean and in scattered locations on the southeastern Atlantic </w:t>
      </w:r>
      <w:commentRangeStart w:id="0"/>
      <w:r>
        <w:rPr>
          <w:shd w:fill="auto" w:val="clear"/>
        </w:rPr>
        <w:t>(Fig. x)</w:t>
      </w:r>
      <w:r>
        <w:rPr>
          <w:shd w:fill="auto" w:val="clear"/>
        </w:rPr>
      </w:r>
      <w:commentRangeEnd w:id="0"/>
      <w:r>
        <w:commentReference w:id="0"/>
      </w:r>
      <w:r>
        <w:rPr/>
        <w:t xml:space="preserve">. The sampling methodology ranged from capturing, tagging and sampling nesting females, digging nests for unhatched eggs and dead hatchlings, stranded animal carcasses and accidental fishing </w:t>
      </w:r>
      <w:bookmarkStart w:id="4" w:name="ZOTERO_BREF_QI19HcPXsWVF"/>
      <w:r>
        <w:rPr>
          <w:shd w:fill="auto" w:val="clear"/>
        </w:rPr>
        <w:t>(2, 3, 4, 5, 6)</w:t>
      </w:r>
      <w:bookmarkEnd w:id="4"/>
      <w:r>
        <w:rPr/>
        <w:t xml:space="preserve">.  Each sample was identified morphologically as one of four species of sea turtles: the loggerhead sea turtle </w:t>
      </w:r>
      <w:r>
        <w:rPr>
          <w:i/>
          <w:iCs/>
        </w:rPr>
        <w:t>Caretta caretta</w:t>
      </w:r>
      <w:r>
        <w:rPr>
          <w:i w:val="false"/>
          <w:iCs w:val="false"/>
        </w:rPr>
        <w:t xml:space="preserve">, the hawksbill </w:t>
      </w:r>
      <w:r>
        <w:rPr>
          <w:i/>
          <w:iCs/>
        </w:rPr>
        <w:t>Eretmochelys imbricata</w:t>
      </w:r>
      <w:r>
        <w:rPr>
          <w:i w:val="false"/>
          <w:iCs w:val="false"/>
        </w:rPr>
        <w:t xml:space="preserve">, the green turtle </w:t>
      </w:r>
      <w:r>
        <w:rPr>
          <w:i/>
          <w:iCs/>
        </w:rPr>
        <w:t xml:space="preserve">Chelonia mydas </w:t>
      </w:r>
      <w:r>
        <w:rPr>
          <w:i w:val="false"/>
          <w:iCs w:val="false"/>
        </w:rPr>
        <w:t xml:space="preserve">and the olive ridley sea turtle </w:t>
      </w:r>
      <w:r>
        <w:rPr>
          <w:i/>
          <w:iCs/>
        </w:rPr>
        <w:t>Lepidochelys olivacea</w:t>
      </w:r>
      <w:r>
        <w:rPr>
          <w:i w:val="false"/>
          <w:iCs w:val="false"/>
        </w:rPr>
        <w:t xml:space="preserve">; or a suspected hybrid. In the case of hatchlings or unborn individuals, no morphological identification was possible. Previous works also provided molecular identification for a subset of the samples, although this was done using a smaller set of molecular markers </w:t>
      </w:r>
      <w:bookmarkStart w:id="5" w:name="ZOTERO_BREF_k6R4zeFWJo0e"/>
      <w:r>
        <w:rPr>
          <w:i w:val="false"/>
          <w:iCs w:val="false"/>
        </w:rPr>
        <w:t>(2, 3)</w:t>
      </w:r>
      <w:bookmarkEnd w:id="5"/>
      <w:r>
        <w:rPr>
          <w:i w:val="false"/>
          <w:iCs w:val="false"/>
        </w:rPr>
        <w:t xml:space="preserve">. </w:t>
      </w:r>
    </w:p>
    <w:p>
      <w:pPr>
        <w:pStyle w:val="BodyTextFirstIndent"/>
        <w:rPr/>
      </w:pPr>
      <w:r>
        <w:rPr/>
        <w:t xml:space="preserve">Sequencing of the samples was performed through either double-digest restriction-site associated DNA (ddRAD) sequencing </w:t>
      </w:r>
      <w:bookmarkStart w:id="6" w:name="ZOTERO_BREF_w23Px3vLjnVp"/>
      <w:r>
        <w:rPr/>
        <w:t>(3, 7)</w:t>
      </w:r>
      <w:bookmarkEnd w:id="6"/>
      <w:r>
        <w:rPr/>
        <w:t xml:space="preserve"> or quadruple-indexed triple-enzime restriction-site associated DNA (3RAD) sequencing </w:t>
      </w:r>
      <w:bookmarkStart w:id="7" w:name="ZOTERO_BREF_HQCAJfw8IyRK"/>
      <w:r>
        <w:rPr/>
        <w:t>(2, 8)</w:t>
      </w:r>
      <w:bookmarkEnd w:id="7"/>
      <w:r>
        <w:rPr/>
        <w:t xml:space="preserve">, the latter being a modification of the former which includes a third enzyme to break adapter dimers and improve sequencing output. Apart from the third enzyme present in the 3RAD sequencing, which supposedly does not contribute to the initial fragmentation of the template DNA, both methods included the same restriction enzymes during library preparation, </w:t>
      </w:r>
      <w:r>
        <w:rPr>
          <w:i/>
          <w:iCs/>
        </w:rPr>
        <w:t xml:space="preserve">Msel </w:t>
      </w:r>
      <w:r>
        <w:rPr>
          <w:i w:val="false"/>
          <w:iCs w:val="false"/>
        </w:rPr>
        <w:t xml:space="preserve">and </w:t>
      </w:r>
      <w:r>
        <w:rPr>
          <w:i/>
          <w:iCs/>
        </w:rPr>
        <w:t>EcoRI</w:t>
      </w:r>
      <w:r>
        <w:rPr>
          <w:i w:val="false"/>
          <w:iCs w:val="false"/>
        </w:rPr>
        <w:t>.</w:t>
      </w:r>
    </w:p>
    <w:p>
      <w:pPr>
        <w:pStyle w:val="Heading2"/>
        <w:numPr>
          <w:ilvl w:val="1"/>
          <w:numId w:val="1"/>
        </w:numPr>
        <w:ind w:hanging="0" w:start="0"/>
        <w:rPr/>
      </w:pPr>
      <w:bookmarkStart w:id="8" w:name="__RefHeading___Toc490_1518100382"/>
      <w:bookmarkEnd w:id="8"/>
      <w:r>
        <w:rPr/>
        <w:t>4.2 Read mapping and quality control</w:t>
      </w:r>
    </w:p>
    <w:p>
      <w:pPr>
        <w:pStyle w:val="BodyText"/>
        <w:rPr/>
      </w:pPr>
      <w:r>
        <w:rPr/>
        <w:t xml:space="preserve">Paired-end Illumina sequencing reads were provided by collaborators through personal communication as quality-trimmed FASTQ files; trimming procedures of the raw reads are described with detail in the respective original publications </w:t>
      </w:r>
      <w:bookmarkStart w:id="9" w:name="ZOTERO_BREF_uNBmFkA6NeK5"/>
      <w:r>
        <w:rPr/>
        <w:t>(2, 3)</w:t>
      </w:r>
      <w:bookmarkEnd w:id="9"/>
      <w:r>
        <w:rPr/>
        <w:t>, and also apply to samples that were not published within those works. We used</w:t>
      </w:r>
      <w:r>
        <w:rPr>
          <w:i/>
          <w:iCs/>
        </w:rPr>
        <w:t xml:space="preserve"> bwa-mem2</w:t>
      </w:r>
      <w:r>
        <w:rPr>
          <w:i w:val="false"/>
          <w:iCs w:val="false"/>
        </w:rPr>
        <w:t xml:space="preserve"> </w:t>
      </w:r>
      <w:bookmarkStart w:id="10" w:name="ZOTERO_BREF_ZvqszonkKnYW"/>
      <w:r>
        <w:rPr>
          <w:i w:val="false"/>
          <w:iCs w:val="false"/>
        </w:rPr>
        <w:t>(9)</w:t>
      </w:r>
      <w:bookmarkEnd w:id="10"/>
      <w:r>
        <w:rPr/>
        <w:t xml:space="preserve"> to</w:t>
      </w:r>
      <w:r>
        <w:rPr>
          <w:i/>
          <w:iCs/>
        </w:rPr>
        <w:t xml:space="preserve"> </w:t>
      </w:r>
      <w:r>
        <w:rPr/>
        <w:t>map the reads against four non-published reference genomes (</w:t>
      </w:r>
      <w:r>
        <w:rPr>
          <w:i/>
          <w:iCs/>
        </w:rPr>
        <w:t>C. caretta</w:t>
      </w:r>
      <w:r>
        <w:rPr>
          <w:i w:val="false"/>
          <w:iCs w:val="false"/>
        </w:rPr>
        <w:t xml:space="preserve">, </w:t>
      </w:r>
      <w:r>
        <w:rPr>
          <w:i/>
          <w:iCs/>
        </w:rPr>
        <w:t>C. mydas</w:t>
      </w:r>
      <w:r>
        <w:rPr>
          <w:i w:val="false"/>
          <w:iCs w:val="false"/>
        </w:rPr>
        <w:t xml:space="preserve">, </w:t>
      </w:r>
      <w:r>
        <w:rPr>
          <w:i/>
          <w:iCs/>
        </w:rPr>
        <w:t>E. imbricata</w:t>
      </w:r>
      <w:r>
        <w:rPr>
          <w:i w:val="false"/>
          <w:iCs w:val="false"/>
        </w:rPr>
        <w:t xml:space="preserve"> or </w:t>
      </w:r>
      <w:r>
        <w:rPr>
          <w:i/>
          <w:iCs/>
        </w:rPr>
        <w:t>Natator depressus</w:t>
      </w:r>
      <w:r>
        <w:rPr>
          <w:i w:val="false"/>
          <w:iCs w:val="false"/>
        </w:rPr>
        <w:t xml:space="preserve">), allowing for a comparison of possible reference bias across mapped datasets. During the mapping procedure, we used </w:t>
      </w:r>
      <w:r>
        <w:rPr>
          <w:i/>
          <w:iCs/>
        </w:rPr>
        <w:t>samtools</w:t>
      </w:r>
      <w:r>
        <w:rPr>
          <w:i w:val="false"/>
          <w:iCs w:val="false"/>
        </w:rPr>
        <w:t xml:space="preserve"> </w:t>
      </w:r>
      <w:bookmarkStart w:id="11" w:name="ZOTERO_BREF_caXrF6WS06oL"/>
      <w:r>
        <w:rPr>
          <w:i w:val="false"/>
          <w:iCs w:val="false"/>
        </w:rPr>
        <w:t>(10)</w:t>
      </w:r>
      <w:bookmarkEnd w:id="11"/>
      <w:r>
        <w:rPr>
          <w:i w:val="false"/>
          <w:iCs w:val="false"/>
        </w:rPr>
        <w:t xml:space="preserve"> to only output matches with a mapping quality </w:t>
      </w:r>
      <w:r>
        <w:rPr>
          <w:rFonts w:eastAsia="Liberation Serif" w:cs="Liberation Serif" w:ascii="Liberation Serif" w:hAnsi="Liberation Serif"/>
          <w:i w:val="false"/>
          <w:iCs w:val="false"/>
        </w:rPr>
        <w:t>≥</w:t>
      </w:r>
      <w:r>
        <w:rPr>
          <w:i w:val="false"/>
          <w:iCs w:val="false"/>
        </w:rPr>
        <w:t xml:space="preserve"> 30, with the “properly paired” flag set and the “unpaired”, “mate unmapped” and “secondary hit” flags unset, and to exclude repeat regions that were previously identified and masked on the reference genomes; finally, the resulting CRAM files were sorted and indexed.</w:t>
      </w:r>
    </w:p>
    <w:p>
      <w:pPr>
        <w:pStyle w:val="Heading2"/>
        <w:numPr>
          <w:ilvl w:val="1"/>
          <w:numId w:val="1"/>
        </w:numPr>
        <w:ind w:hanging="0" w:start="0"/>
        <w:rPr/>
      </w:pPr>
      <w:bookmarkStart w:id="12" w:name="__RefHeading___Toc492_1518100382"/>
      <w:bookmarkEnd w:id="12"/>
      <w:r>
        <w:rPr/>
        <w:t>4.3 Genotype likelihoods estimation and genotype calling</w:t>
      </w:r>
    </w:p>
    <w:p>
      <w:pPr>
        <w:pStyle w:val="BodyText"/>
        <w:rPr/>
      </w:pPr>
      <w:r>
        <w:rPr/>
        <w:t xml:space="preserve">We used </w:t>
      </w:r>
      <w:r>
        <w:rPr>
          <w:i/>
          <w:iCs/>
        </w:rPr>
        <w:t>bcftools</w:t>
      </w:r>
      <w:r>
        <w:rPr>
          <w:i w:val="false"/>
          <w:iCs w:val="false"/>
        </w:rPr>
        <w:t xml:space="preserve"> </w:t>
      </w:r>
      <w:bookmarkStart w:id="13" w:name="ZOTERO_BREF_AbKyWLARywGW"/>
      <w:r>
        <w:rPr>
          <w:i w:val="false"/>
          <w:iCs w:val="false"/>
        </w:rPr>
        <w:t>(10)</w:t>
      </w:r>
      <w:bookmarkEnd w:id="13"/>
      <w:r>
        <w:rPr/>
        <w:t xml:space="preserve"> to perform genotype likelihood estimation and genotype calling. In brief, we estimated genotype likelihoods with </w:t>
      </w:r>
      <w:r>
        <w:rPr>
          <w:i/>
          <w:iCs/>
        </w:rPr>
        <w:t>bcftools mpileup</w:t>
      </w:r>
      <w:r>
        <w:rPr>
          <w:i w:val="false"/>
          <w:iCs w:val="false"/>
        </w:rPr>
        <w:t xml:space="preserve"> for each individual chromosome for all samples, while filtering for a maximum depth of 250, a minimum mapping quality and base call quality of 30, and skipping indels. These results were directly piped into </w:t>
      </w:r>
      <w:r>
        <w:rPr>
          <w:i/>
          <w:iCs/>
        </w:rPr>
        <w:t>bcftools call</w:t>
      </w:r>
      <w:r>
        <w:rPr>
          <w:i w:val="false"/>
          <w:iCs w:val="false"/>
        </w:rPr>
        <w:t>, using the multiallelic caller model, outputting only variant sites with a p-value &lt; 10</w:t>
      </w:r>
      <w:r>
        <w:rPr>
          <w:i w:val="false"/>
          <w:iCs w:val="false"/>
          <w:vertAlign w:val="superscript"/>
        </w:rPr>
        <w:t>-6</w:t>
      </w:r>
      <w:r>
        <w:rPr>
          <w:i w:val="false"/>
          <w:iCs w:val="false"/>
          <w:position w:val="0"/>
          <w:sz w:val="24"/>
          <w:sz w:val="24"/>
          <w:vertAlign w:val="baseline"/>
        </w:rPr>
        <w:t xml:space="preserve">. The results were then sorted, merged and indexed. Variants were then left-normalised using </w:t>
      </w:r>
      <w:r>
        <w:rPr>
          <w:i/>
          <w:iCs/>
          <w:position w:val="0"/>
          <w:sz w:val="24"/>
          <w:sz w:val="24"/>
          <w:vertAlign w:val="baseline"/>
        </w:rPr>
        <w:t>bcftools norm</w:t>
      </w:r>
      <w:r>
        <w:rPr>
          <w:i w:val="false"/>
          <w:iCs w:val="false"/>
          <w:position w:val="0"/>
          <w:sz w:val="24"/>
          <w:sz w:val="24"/>
          <w:vertAlign w:val="baseline"/>
        </w:rPr>
        <w:t xml:space="preserve">, splitting all multiallelic sites into biallelic records. Duplicate sites were removed using </w:t>
      </w:r>
      <w:r>
        <w:rPr>
          <w:i/>
          <w:iCs/>
          <w:position w:val="0"/>
          <w:sz w:val="24"/>
          <w:sz w:val="24"/>
          <w:vertAlign w:val="baseline"/>
        </w:rPr>
        <w:t>plink2</w:t>
      </w:r>
      <w:r>
        <w:rPr>
          <w:i w:val="false"/>
          <w:iCs w:val="false"/>
          <w:position w:val="0"/>
          <w:sz w:val="24"/>
          <w:sz w:val="24"/>
          <w:vertAlign w:val="baseline"/>
        </w:rPr>
        <w:t xml:space="preserve"> </w:t>
      </w:r>
      <w:bookmarkStart w:id="14" w:name="ZOTERO_BREF_SOTcwrtn2Ryt"/>
      <w:r>
        <w:rPr>
          <w:i w:val="false"/>
          <w:iCs w:val="false"/>
          <w:position w:val="0"/>
          <w:sz w:val="24"/>
          <w:sz w:val="24"/>
          <w:vertAlign w:val="baseline"/>
        </w:rPr>
        <w:t>(11)</w:t>
      </w:r>
      <w:bookmarkEnd w:id="14"/>
      <w:r>
        <w:rPr/>
        <w:t>, excluding all variant sites where a duplicate occurs (</w:t>
      </w:r>
      <w:r>
        <w:rPr>
          <w:i/>
          <w:iCs/>
        </w:rPr>
        <w:t xml:space="preserve">i.e. </w:t>
      </w:r>
      <w:r>
        <w:rPr>
          <w:i w:val="false"/>
          <w:iCs w:val="false"/>
        </w:rPr>
        <w:t xml:space="preserve">split multiallelic sites), while also filtering for a minimum minor allele frequency &gt; 0.05 and outputting only SNPs. We then used </w:t>
      </w:r>
      <w:r>
        <w:rPr>
          <w:i/>
          <w:iCs/>
        </w:rPr>
        <w:t>vcftools</w:t>
      </w:r>
      <w:r>
        <w:rPr>
          <w:i w:val="false"/>
          <w:iCs w:val="false"/>
        </w:rPr>
        <w:t xml:space="preserve"> </w:t>
      </w:r>
      <w:bookmarkStart w:id="15" w:name="ZOTERO_BREF_W6NudCNEPDaz"/>
      <w:r>
        <w:rPr>
          <w:i w:val="false"/>
          <w:iCs w:val="false"/>
        </w:rPr>
        <w:t>(12)</w:t>
      </w:r>
      <w:bookmarkEnd w:id="15"/>
      <w:r>
        <w:rPr>
          <w:i/>
          <w:iCs/>
        </w:rPr>
        <w:t xml:space="preserve"> </w:t>
      </w:r>
      <w:r>
        <w:rPr>
          <w:i w:val="false"/>
          <w:iCs w:val="false"/>
        </w:rPr>
        <w:t xml:space="preserve">to remove all samples with a total amount of missing data across all variants greater than 10%. Afterwards, we used </w:t>
      </w:r>
      <w:r>
        <w:rPr>
          <w:i/>
          <w:iCs/>
        </w:rPr>
        <w:t>bcftools</w:t>
      </w:r>
      <w:r>
        <w:rPr>
          <w:i w:val="false"/>
          <w:iCs w:val="false"/>
        </w:rPr>
        <w:t xml:space="preserve"> to keep only biallelic sites, and remove all genotypes with more than 10% of missing data across all samples.</w:t>
      </w:r>
    </w:p>
    <w:p>
      <w:pPr>
        <w:pStyle w:val="BodyTextFirstIndent"/>
        <w:rPr/>
      </w:pPr>
      <w:r>
        <w:rPr/>
        <w:t xml:space="preserve">Next, we removed sites under potential linkage disequilibrium (LD) using </w:t>
      </w:r>
      <w:r>
        <w:rPr>
          <w:i/>
          <w:iCs/>
        </w:rPr>
        <w:t>plink2</w:t>
      </w:r>
      <w:r>
        <w:rPr>
          <w:i w:val="false"/>
          <w:iCs w:val="false"/>
        </w:rPr>
        <w:t>. Pairs of sites were scanned using a 250bp sliding window, and were considered to be in LD, and thus removed, if their squared correlation coefficient (</w:t>
      </w:r>
      <w:r>
        <w:rPr>
          <w:i/>
          <w:iCs/>
        </w:rPr>
        <w:t>r</w:t>
      </w:r>
      <w:r>
        <w:rPr>
          <w:i/>
          <w:iCs/>
          <w:vertAlign w:val="superscript"/>
        </w:rPr>
        <w:t>2</w:t>
      </w:r>
      <w:r>
        <w:rPr>
          <w:i w:val="false"/>
          <w:iCs w:val="false"/>
          <w:position w:val="0"/>
          <w:sz w:val="24"/>
          <w:sz w:val="24"/>
          <w:vertAlign w:val="baseline"/>
        </w:rPr>
        <w:t>) was greater than 0.5.</w:t>
      </w:r>
    </w:p>
    <w:p>
      <w:pPr>
        <w:pStyle w:val="BodyTextFirstIndent"/>
        <w:rPr/>
      </w:pPr>
      <w:r>
        <w:rPr>
          <w:i w:val="false"/>
          <w:iCs w:val="false"/>
        </w:rPr>
        <w:t xml:space="preserve">Lastly, variant sets were converted into BEAGLE genotype-likelihoods format files using </w:t>
      </w:r>
      <w:r>
        <w:rPr>
          <w:i/>
          <w:iCs/>
        </w:rPr>
        <w:t>vcftools</w:t>
      </w:r>
      <w:r>
        <w:rPr>
          <w:i w:val="false"/>
          <w:iCs w:val="false"/>
        </w:rPr>
        <w:t xml:space="preserve">, for compatibility with the </w:t>
      </w:r>
      <w:r>
        <w:rPr>
          <w:i/>
          <w:iCs/>
        </w:rPr>
        <w:t>ANGSD</w:t>
      </w:r>
      <w:r>
        <w:rPr>
          <w:i w:val="false"/>
          <w:iCs w:val="false"/>
        </w:rPr>
        <w:t xml:space="preserve"> </w:t>
      </w:r>
      <w:bookmarkStart w:id="16" w:name="ZOTERO_BREF_bMScJhuR8q1x"/>
      <w:r>
        <w:rPr>
          <w:i w:val="false"/>
          <w:iCs w:val="false"/>
        </w:rPr>
        <w:t>(13)</w:t>
      </w:r>
      <w:bookmarkEnd w:id="16"/>
      <w:r>
        <w:rPr>
          <w:i w:val="false"/>
          <w:iCs w:val="false"/>
        </w:rPr>
        <w:t xml:space="preserve"> suite of population genetics analyses.</w:t>
      </w:r>
    </w:p>
    <w:p>
      <w:pPr>
        <w:pStyle w:val="Heading2"/>
        <w:numPr>
          <w:ilvl w:val="1"/>
          <w:numId w:val="1"/>
        </w:numPr>
        <w:ind w:hanging="0" w:start="0"/>
        <w:rPr/>
      </w:pPr>
      <w:bookmarkStart w:id="17" w:name="__RefHeading___Toc494_1518100382"/>
      <w:bookmarkEnd w:id="17"/>
      <w:r>
        <w:rPr/>
        <w:t>4.4 Population genetics analyses: PCA and ADMIXTURE</w:t>
      </w:r>
    </w:p>
    <w:p>
      <w:pPr>
        <w:pStyle w:val="BodyText"/>
        <w:rPr/>
      </w:pPr>
      <w:r>
        <w:rPr>
          <w:i/>
          <w:iCs/>
        </w:rPr>
        <w:t>ANGSD</w:t>
      </w:r>
      <w:r>
        <w:rPr>
          <w:i w:val="false"/>
          <w:iCs w:val="false"/>
        </w:rPr>
        <w:t xml:space="preserve"> </w:t>
      </w:r>
      <w:bookmarkStart w:id="18" w:name="ZOTERO_BREF_SRisSYXkb8AN"/>
      <w:r>
        <w:rPr>
          <w:i w:val="false"/>
          <w:iCs w:val="false"/>
        </w:rPr>
        <w:t>(13)</w:t>
      </w:r>
      <w:bookmarkEnd w:id="18"/>
      <w:r>
        <w:rPr/>
        <w:t xml:space="preserve"> is an open-source software that provides the user with a wide suite of population genetics analyses that can make use of genotype likelihoods instead of being based on hard genotype calls, thus being better suited for analyses of low and medium depth sequencing data, as well as sparse sequencing data such as those stemming from restriction-site associated sequencing. The associated programs</w:t>
      </w:r>
      <w:r>
        <w:rPr>
          <w:i/>
          <w:iCs/>
        </w:rPr>
        <w:t xml:space="preserve"> PCAngsd</w:t>
      </w:r>
      <w:r>
        <w:rPr>
          <w:i w:val="false"/>
          <w:iCs w:val="false"/>
        </w:rPr>
        <w:t xml:space="preserve"> </w:t>
      </w:r>
      <w:bookmarkStart w:id="19" w:name="ZOTERO_BREF_ywBRghyLrYx5"/>
      <w:r>
        <w:rPr>
          <w:i w:val="false"/>
          <w:iCs w:val="false"/>
        </w:rPr>
        <w:t>(14)</w:t>
      </w:r>
      <w:bookmarkEnd w:id="19"/>
      <w:r>
        <w:rPr>
          <w:i w:val="false"/>
          <w:iCs w:val="false"/>
        </w:rPr>
        <w:t xml:space="preserve"> and </w:t>
      </w:r>
      <w:r>
        <w:rPr>
          <w:i/>
          <w:iCs/>
        </w:rPr>
        <w:t>NgsAdmix</w:t>
      </w:r>
      <w:r>
        <w:rPr>
          <w:i w:val="false"/>
          <w:iCs w:val="false"/>
        </w:rPr>
        <w:t xml:space="preserve"> </w:t>
      </w:r>
      <w:bookmarkStart w:id="20" w:name="ZOTERO_BREF_KfsQUNP0k9JM"/>
      <w:r>
        <w:rPr>
          <w:i w:val="false"/>
          <w:iCs w:val="false"/>
        </w:rPr>
        <w:t>(15)</w:t>
      </w:r>
      <w:bookmarkEnd w:id="20"/>
      <w:r>
        <w:rPr>
          <w:i w:val="false"/>
          <w:iCs w:val="false"/>
        </w:rPr>
        <w:t xml:space="preserve"> can be used, respectively, to extract principal components and perform ADMIXTURE </w:t>
      </w:r>
      <w:bookmarkStart w:id="21" w:name="ZOTERO_BREF_RMCS5FAxhyQV"/>
      <w:r>
        <w:rPr>
          <w:i w:val="false"/>
          <w:iCs w:val="false"/>
        </w:rPr>
        <w:t>(16)</w:t>
      </w:r>
      <w:bookmarkEnd w:id="21"/>
      <w:r>
        <w:rPr>
          <w:i w:val="false"/>
          <w:iCs w:val="false"/>
        </w:rPr>
        <w:t xml:space="preserve"> analyses of genotype likelihoods data.</w:t>
      </w:r>
    </w:p>
    <w:p>
      <w:pPr>
        <w:pStyle w:val="BodyTextFirstIndent"/>
        <w:rPr/>
      </w:pPr>
      <w:r>
        <w:rPr>
          <w:i w:val="false"/>
          <w:iCs w:val="false"/>
        </w:rPr>
        <w:t xml:space="preserve">We used </w:t>
      </w:r>
      <w:r>
        <w:rPr>
          <w:i/>
          <w:iCs/>
        </w:rPr>
        <w:t>PCAngsd</w:t>
      </w:r>
      <w:r>
        <w:rPr>
          <w:i w:val="false"/>
          <w:iCs w:val="false"/>
        </w:rPr>
        <w:t xml:space="preserve"> to perform a principal component analysis (PCA) of our filtered genotype likelihoods data, using default parameters. We then ran </w:t>
      </w:r>
      <w:r>
        <w:rPr>
          <w:i/>
          <w:iCs/>
        </w:rPr>
        <w:t>NgsAdmix</w:t>
      </w:r>
      <w:r>
        <w:rPr>
          <w:i w:val="false"/>
          <w:iCs w:val="false"/>
        </w:rPr>
        <w:t xml:space="preserve"> with values of </w:t>
      </w:r>
      <w:r>
        <w:rPr>
          <w:i/>
          <w:iCs/>
        </w:rPr>
        <w:t>K</w:t>
      </w:r>
      <w:r>
        <w:rPr>
          <w:i w:val="false"/>
          <w:iCs w:val="false"/>
        </w:rPr>
        <w:t xml:space="preserve"> ranging from three to six. Additionally, we used </w:t>
      </w:r>
      <w:r>
        <w:rPr>
          <w:i/>
          <w:iCs/>
        </w:rPr>
        <w:t>evalAdmix</w:t>
      </w:r>
      <w:r>
        <w:rPr>
          <w:i w:val="false"/>
          <w:iCs w:val="false"/>
        </w:rPr>
        <w:t xml:space="preserve"> </w:t>
      </w:r>
      <w:bookmarkStart w:id="22" w:name="ZOTERO_BREF_wKJMwTE0fXAl"/>
      <w:r>
        <w:rPr>
          <w:i w:val="false"/>
          <w:iCs w:val="false"/>
        </w:rPr>
        <w:t>(17)</w:t>
      </w:r>
      <w:bookmarkEnd w:id="22"/>
      <w:r>
        <w:rPr/>
        <w:t xml:space="preserve"> and the deviance information criterion (DIC) as implemented in </w:t>
      </w:r>
      <w:r>
        <w:rPr>
          <w:i/>
          <w:iCs/>
        </w:rPr>
        <w:t>entropy</w:t>
      </w:r>
      <w:r>
        <w:rPr>
          <w:i w:val="false"/>
          <w:iCs w:val="false"/>
        </w:rPr>
        <w:t xml:space="preserve"> </w:t>
      </w:r>
      <w:bookmarkStart w:id="23" w:name="ZOTERO_BREF_3xXl8uRM6jcR"/>
      <w:r>
        <w:rPr>
          <w:i w:val="false"/>
          <w:iCs w:val="false"/>
        </w:rPr>
        <w:t>(18)</w:t>
      </w:r>
      <w:bookmarkEnd w:id="23"/>
      <w:r>
        <w:rPr/>
        <w:t xml:space="preserve"> to evaluate the best-fitting </w:t>
      </w:r>
      <w:r>
        <w:rPr>
          <w:i/>
          <w:iCs/>
        </w:rPr>
        <w:t>K</w:t>
      </w:r>
      <w:r>
        <w:rPr/>
        <w:t xml:space="preserve"> value.</w:t>
      </w:r>
    </w:p>
    <w:p>
      <w:pPr>
        <w:pStyle w:val="BodyTextFirstIndent"/>
        <w:rPr/>
      </w:pPr>
      <w:r>
        <w:rPr/>
        <w:t xml:space="preserve">All visualisations were performed in the </w:t>
      </w:r>
      <w:r>
        <w:rPr>
          <w:i/>
          <w:iCs/>
        </w:rPr>
        <w:t>R</w:t>
      </w:r>
      <w:r>
        <w:rPr>
          <w:i w:val="false"/>
          <w:iCs w:val="false"/>
        </w:rPr>
        <w:t xml:space="preserve"> programming language and statistical environment </w:t>
      </w:r>
      <w:bookmarkStart w:id="24" w:name="ZOTERO_BREF_WSVmvqH6uTA9"/>
      <w:r>
        <w:rPr>
          <w:i w:val="false"/>
          <w:iCs w:val="false"/>
        </w:rPr>
        <w:t>(19)</w:t>
      </w:r>
      <w:bookmarkEnd w:id="24"/>
      <w:r>
        <w:rPr>
          <w:i w:val="false"/>
          <w:iCs w:val="false"/>
        </w:rPr>
        <w:t xml:space="preserve">, using the packages available on the </w:t>
      </w:r>
      <w:r>
        <w:rPr>
          <w:i/>
          <w:iCs/>
        </w:rPr>
        <w:t>tidyverse</w:t>
      </w:r>
      <w:r>
        <w:rPr>
          <w:i w:val="false"/>
          <w:iCs w:val="false"/>
        </w:rPr>
        <w:t xml:space="preserve"> </w:t>
      </w:r>
      <w:bookmarkStart w:id="25" w:name="ZOTERO_BREF_pPilq8lBlQDO"/>
      <w:r>
        <w:rPr>
          <w:i w:val="false"/>
          <w:iCs w:val="false"/>
        </w:rPr>
        <w:t>(20)</w:t>
      </w:r>
      <w:bookmarkEnd w:id="25"/>
      <w:r>
        <w:rPr>
          <w:i w:val="false"/>
          <w:iCs w:val="false"/>
        </w:rPr>
        <w:t>,</w:t>
      </w:r>
      <w:r>
        <w:rPr/>
        <w:t xml:space="preserve"> and the packages </w:t>
      </w:r>
      <w:r>
        <w:rPr>
          <w:i/>
          <w:iCs/>
        </w:rPr>
        <w:t>patchwork</w:t>
      </w:r>
      <w:r>
        <w:rPr>
          <w:i w:val="false"/>
          <w:iCs w:val="false"/>
        </w:rPr>
        <w:t xml:space="preserve"> </w:t>
      </w:r>
      <w:bookmarkStart w:id="26" w:name="ZOTERO_BREF_Gyetevndoh5i"/>
      <w:r>
        <w:rPr>
          <w:i w:val="false"/>
          <w:iCs w:val="false"/>
        </w:rPr>
        <w:t>(21)</w:t>
      </w:r>
      <w:bookmarkEnd w:id="26"/>
      <w:r>
        <w:rPr>
          <w:i w:val="false"/>
          <w:iCs w:val="false"/>
        </w:rPr>
        <w:t xml:space="preserve"> and </w:t>
      </w:r>
      <w:r>
        <w:rPr>
          <w:i/>
          <w:iCs/>
        </w:rPr>
        <w:t>paletteer</w:t>
      </w:r>
      <w:r>
        <w:rPr>
          <w:i w:val="false"/>
          <w:iCs w:val="false"/>
        </w:rPr>
        <w:t xml:space="preserve"> </w:t>
      </w:r>
      <w:bookmarkStart w:id="27" w:name="ZOTERO_BREF_jAiBItgC6mHr"/>
      <w:r>
        <w:rPr>
          <w:i w:val="false"/>
          <w:iCs w:val="false"/>
        </w:rPr>
        <w:t>(22)</w:t>
      </w:r>
      <w:bookmarkEnd w:id="27"/>
      <w:r>
        <w:rPr/>
        <w:t>.</w:t>
      </w:r>
    </w:p>
    <w:p>
      <w:pPr>
        <w:pStyle w:val="Heading2"/>
        <w:numPr>
          <w:ilvl w:val="1"/>
          <w:numId w:val="1"/>
        </w:numPr>
        <w:ind w:hanging="0" w:start="0"/>
        <w:rPr/>
      </w:pPr>
      <w:bookmarkStart w:id="28" w:name="__RefHeading___Toc496_1518100382"/>
      <w:bookmarkEnd w:id="28"/>
      <w:r>
        <w:rPr/>
        <w:t>4.5 Additional analyses and plots</w:t>
      </w:r>
    </w:p>
    <w:p>
      <w:pPr>
        <w:pStyle w:val="BodyText"/>
        <w:rPr/>
      </w:pPr>
      <w:r>
        <w:rPr/>
        <w:t>We performed additional analyses to verify potential mapping and genotyping biases that could be occurring due to our combined used of ddRAD and 3RAD data. To that end, we evaluated the distribution of insert sizes for the mapped reads using</w:t>
      </w:r>
      <w:r>
        <w:rPr>
          <w:i/>
          <w:iCs/>
        </w:rPr>
        <w:t xml:space="preserve"> samtools stats</w:t>
      </w:r>
      <w:r>
        <w:rPr>
          <w:i w:val="false"/>
          <w:iCs w:val="false"/>
        </w:rPr>
        <w:t>, to assure a similar size selection between methods. We then</w:t>
      </w:r>
      <w:r>
        <w:rPr>
          <w:i/>
          <w:iCs/>
        </w:rPr>
        <w:t xml:space="preserve"> </w:t>
      </w:r>
      <w:r>
        <w:rPr/>
        <w:t xml:space="preserve">used the missing data information coded on the filtered VCF files to possibly identify method-associated blocks of missing data, which would indicate loci that are being called in samples of one method but not the other. We then visualised the results using </w:t>
      </w:r>
      <w:r>
        <w:rPr>
          <w:i w:val="false"/>
          <w:iCs w:val="false"/>
        </w:rPr>
        <w:t xml:space="preserve">the same suite of </w:t>
      </w:r>
      <w:r>
        <w:rPr>
          <w:i/>
          <w:iCs/>
        </w:rPr>
        <w:t>R</w:t>
      </w:r>
      <w:r>
        <w:rPr>
          <w:i w:val="false"/>
          <w:iCs w:val="false"/>
        </w:rPr>
        <w:t xml:space="preserve"> packages as mentioned in the previous section.</w:t>
      </w:r>
    </w:p>
    <w:p>
      <w:pPr>
        <w:pStyle w:val="BodyTextFirstIndent"/>
        <w:ind w:hanging="0" w:start="0"/>
        <w:rPr>
          <w:i w:val="false"/>
          <w:i w:val="false"/>
          <w:iCs w:val="false"/>
        </w:rPr>
      </w:pPr>
      <w:r>
        <w:rPr>
          <w:i w:val="false"/>
          <w:iCs w:val="false"/>
        </w:rPr>
      </w:r>
    </w:p>
    <w:p>
      <w:pPr>
        <w:pStyle w:val="Heading1"/>
        <w:numPr>
          <w:ilvl w:val="0"/>
          <w:numId w:val="1"/>
        </w:numPr>
        <w:ind w:hanging="0" w:start="0"/>
        <w:rPr/>
      </w:pPr>
      <w:bookmarkStart w:id="29" w:name="__RefHeading___Toc498_1518100382"/>
      <w:bookmarkEnd w:id="29"/>
      <w:r>
        <w:rPr/>
        <w:t>5 RESULTS AND DISCUSSION</w:t>
      </w:r>
    </w:p>
    <w:p>
      <w:pPr>
        <w:pStyle w:val="BodyText"/>
        <w:rPr/>
      </w:pPr>
      <w:r>
        <w:rPr>
          <w:i w:val="false"/>
          <w:iCs w:val="false"/>
        </w:rPr>
        <w:t xml:space="preserve">In total, 116 samples were sequenced by Arantes with an average depth of 39.8x </w:t>
      </w:r>
      <w:bookmarkStart w:id="30" w:name="ZOTERO_BREF_ytwIc7kwjfvp"/>
      <w:r>
        <w:rPr>
          <w:i w:val="false"/>
          <w:iCs w:val="false"/>
        </w:rPr>
        <w:t>(2)</w:t>
      </w:r>
      <w:bookmarkEnd w:id="30"/>
      <w:r>
        <w:rPr/>
        <w:t xml:space="preserve"> using 3RAD libraries </w:t>
      </w:r>
      <w:bookmarkStart w:id="31" w:name="ZOTERO_BREF_2tSYO4wb4DKH"/>
      <w:r>
        <w:rPr/>
        <w:t>(8)</w:t>
      </w:r>
      <w:bookmarkEnd w:id="31"/>
      <w:r>
        <w:rPr>
          <w:shd w:fill="auto" w:val="clear"/>
        </w:rPr>
        <w:t xml:space="preserve"> and 158 samples were sequenced by Arantes and Vilaça with an average depth of 38.5x </w:t>
      </w:r>
      <w:bookmarkStart w:id="32" w:name="ZOTERO_BREF_EdTEz2yOHUTH"/>
      <w:r>
        <w:rPr>
          <w:shd w:fill="auto" w:val="clear"/>
        </w:rPr>
        <w:t>(3)</w:t>
      </w:r>
      <w:bookmarkEnd w:id="32"/>
      <w:r>
        <w:rPr/>
        <w:t xml:space="preserve"> </w:t>
      </w:r>
      <w:r>
        <w:rPr>
          <w:shd w:fill="auto" w:val="clear"/>
        </w:rPr>
        <w:t xml:space="preserve">using ddRAD libraries </w:t>
      </w:r>
      <w:bookmarkStart w:id="33" w:name="ZOTERO_BREF_M8hkuLTxdkar"/>
      <w:r>
        <w:rPr>
          <w:shd w:fill="auto" w:val="clear"/>
        </w:rPr>
        <w:t>(7)</w:t>
      </w:r>
      <w:bookmarkEnd w:id="33"/>
      <w:r>
        <w:rPr>
          <w:shd w:fill="auto" w:val="clear"/>
        </w:rPr>
        <w:t>. This amounts to a total of 274 sequencing samples, of which 12 were replicates of the same 3RAD samples using different DNA extraction methods due to an initial low quantification, and seven correspond to the same sample sequenced with both 3RAD and ddRAD, yielding a total of 255 uniquely sampled individuals.</w:t>
      </w:r>
    </w:p>
    <w:p>
      <w:pPr>
        <w:pStyle w:val="Heading2"/>
        <w:numPr>
          <w:ilvl w:val="1"/>
          <w:numId w:val="1"/>
        </w:numPr>
        <w:ind w:hanging="0" w:start="0"/>
        <w:rPr/>
      </w:pPr>
      <w:bookmarkStart w:id="34" w:name="__RefHeading___Toc500_1518100382"/>
      <w:bookmarkEnd w:id="34"/>
      <w:r>
        <w:rPr/>
        <w:t>5.1 Data harmonisation, mapping and variant calling</w:t>
      </w:r>
    </w:p>
    <w:p>
      <w:pPr>
        <w:pStyle w:val="BodyTextFirstIndent"/>
        <w:ind w:hanging="0" w:start="0"/>
        <w:rPr/>
      </w:pPr>
      <w:r>
        <w:rPr/>
        <w:t xml:space="preserve">We successfully mapped all 274 samples against the four evaluated reference genomes. On average, </w:t>
      </w:r>
      <w:commentRangeStart w:id="1"/>
      <w:r>
        <w:rPr/>
        <w:t>x</w:t>
      </w:r>
      <w:r>
        <w:rPr/>
      </w:r>
      <w:commentRangeEnd w:id="1"/>
      <w:r>
        <w:commentReference w:id="1"/>
      </w:r>
      <w:r>
        <w:rPr/>
        <w:t xml:space="preserve"> reads were mapped, with a mean depth of </w:t>
      </w:r>
      <w:commentRangeStart w:id="2"/>
      <w:r>
        <w:rPr/>
        <w:t>y</w:t>
      </w:r>
      <w:r>
        <w:rPr/>
      </w:r>
      <w:commentRangeEnd w:id="2"/>
      <w:r>
        <w:commentReference w:id="2"/>
      </w:r>
      <w:r>
        <w:rPr/>
        <w:t xml:space="preserve">. There seemed to be no observable reference bias when comparing the numbers of mapped reads and the average mapping depth, which is further corroborated by very similar PCA results across all references </w:t>
      </w:r>
      <w:commentRangeStart w:id="3"/>
      <w:r>
        <w:rPr/>
        <w:t>(Supplementary Fig x)</w:t>
      </w:r>
      <w:r>
        <w:rPr/>
      </w:r>
      <w:commentRangeEnd w:id="3"/>
      <w:r>
        <w:commentReference w:id="3"/>
      </w:r>
      <w:r>
        <w:rPr/>
        <w:t xml:space="preserve">; therefore, we chose to present the results based on the mappings to </w:t>
      </w:r>
      <w:r>
        <w:rPr>
          <w:i/>
          <w:iCs/>
        </w:rPr>
        <w:t>N. depressus,</w:t>
      </w:r>
      <w:r>
        <w:rPr>
          <w:i w:val="false"/>
          <w:iCs w:val="false"/>
        </w:rPr>
        <w:t xml:space="preserve"> as the species represents a “middle-ground” for all samples (</w:t>
      </w:r>
      <w:r>
        <w:rPr>
          <w:i/>
          <w:iCs/>
        </w:rPr>
        <w:t xml:space="preserve">i.e. </w:t>
      </w:r>
      <w:r>
        <w:rPr>
          <w:i w:val="false"/>
          <w:iCs w:val="false"/>
        </w:rPr>
        <w:t xml:space="preserve">no samples in our dataset are expected to contain ancestry from </w:t>
      </w:r>
      <w:r>
        <w:rPr>
          <w:i/>
          <w:iCs/>
        </w:rPr>
        <w:t>N. depressus</w:t>
      </w:r>
      <w:r>
        <w:rPr>
          <w:i w:val="false"/>
          <w:iCs w:val="false"/>
        </w:rPr>
        <w:t xml:space="preserve">). The distribution of insert sizes was very similar across methods </w:t>
      </w:r>
      <w:commentRangeStart w:id="4"/>
      <w:r>
        <w:rPr>
          <w:i w:val="false"/>
          <w:iCs w:val="false"/>
        </w:rPr>
        <w:t>(Fig x)</w:t>
      </w:r>
      <w:r>
        <w:rPr>
          <w:i w:val="false"/>
          <w:iCs w:val="false"/>
        </w:rPr>
      </w:r>
      <w:commentRangeEnd w:id="4"/>
      <w:r>
        <w:commentReference w:id="4"/>
      </w:r>
      <w:r>
        <w:rPr>
          <w:i w:val="false"/>
          <w:iCs w:val="false"/>
        </w:rPr>
        <w:t>, which indicates libraries were prepared using a similar size selection strategy.</w:t>
      </w:r>
    </w:p>
    <w:p>
      <w:pPr>
        <w:pStyle w:val="BodyTextFirstIndent"/>
        <w:rPr>
          <w:i w:val="false"/>
          <w:i w:val="false"/>
          <w:iCs w:val="false"/>
        </w:rPr>
      </w:pPr>
      <w:r>
        <w:rPr>
          <w:i w:val="false"/>
          <w:iCs w:val="false"/>
        </w:rPr>
        <w:t xml:space="preserve">In total, </w:t>
      </w:r>
      <w:commentRangeStart w:id="5"/>
      <w:r>
        <w:rPr>
          <w:i w:val="false"/>
          <w:iCs w:val="false"/>
        </w:rPr>
        <w:t>x</w:t>
      </w:r>
      <w:r>
        <w:rPr>
          <w:i w:val="false"/>
          <w:iCs w:val="false"/>
        </w:rPr>
      </w:r>
      <w:commentRangeEnd w:id="5"/>
      <w:r>
        <w:commentReference w:id="5"/>
      </w:r>
      <w:r>
        <w:rPr>
          <w:i w:val="false"/>
          <w:iCs w:val="false"/>
        </w:rPr>
        <w:t xml:space="preserve"> variant sites were identified among all samples </w:t>
      </w:r>
      <w:commentRangeStart w:id="6"/>
      <w:r>
        <w:rPr>
          <w:i w:val="false"/>
          <w:iCs w:val="false"/>
        </w:rPr>
        <w:t>(Supplementary Table x)</w:t>
      </w:r>
      <w:r>
        <w:rPr>
          <w:i w:val="false"/>
          <w:iCs w:val="false"/>
        </w:rPr>
      </w:r>
      <w:commentRangeEnd w:id="6"/>
      <w:r>
        <w:commentReference w:id="6"/>
      </w:r>
      <w:r>
        <w:rPr>
          <w:i w:val="false"/>
          <w:iCs w:val="false"/>
        </w:rPr>
        <w:t xml:space="preserve"> prior to filtering. Of the 274 samples, </w:t>
      </w:r>
      <w:commentRangeStart w:id="7"/>
      <w:r>
        <w:rPr>
          <w:i w:val="false"/>
          <w:iCs w:val="false"/>
        </w:rPr>
        <w:t>y</w:t>
      </w:r>
      <w:r>
        <w:rPr>
          <w:i w:val="false"/>
          <w:iCs w:val="false"/>
        </w:rPr>
      </w:r>
      <w:commentRangeEnd w:id="7"/>
      <w:r>
        <w:commentReference w:id="7"/>
      </w:r>
      <w:r>
        <w:rPr>
          <w:i w:val="false"/>
          <w:iCs w:val="false"/>
        </w:rPr>
        <w:t xml:space="preserve"> had over 10% of missing data across all loci and were therefore removed from the analysis </w:t>
      </w:r>
      <w:commentRangeStart w:id="8"/>
      <w:r>
        <w:rPr>
          <w:i w:val="false"/>
          <w:iCs w:val="false"/>
        </w:rPr>
        <w:t>(Supplementary Table x)</w:t>
      </w:r>
      <w:r>
        <w:rPr>
          <w:i w:val="false"/>
          <w:iCs w:val="false"/>
        </w:rPr>
      </w:r>
      <w:commentRangeEnd w:id="8"/>
      <w:r>
        <w:commentReference w:id="8"/>
      </w:r>
      <w:r>
        <w:rPr>
          <w:i w:val="false"/>
          <w:iCs w:val="false"/>
        </w:rPr>
        <w:t xml:space="preserve">. Similarly, </w:t>
      </w:r>
      <w:commentRangeStart w:id="9"/>
      <w:r>
        <w:rPr>
          <w:i w:val="false"/>
          <w:iCs w:val="false"/>
        </w:rPr>
        <w:t>x</w:t>
      </w:r>
      <w:r>
        <w:rPr>
          <w:i w:val="false"/>
          <w:iCs w:val="false"/>
        </w:rPr>
      </w:r>
      <w:commentRangeEnd w:id="9"/>
      <w:r>
        <w:commentReference w:id="9"/>
      </w:r>
      <w:r>
        <w:rPr>
          <w:i w:val="false"/>
          <w:iCs w:val="false"/>
        </w:rPr>
        <w:t xml:space="preserve"> loci were missing in over 10% of all samples and were filtered out, resulting in a grand total of </w:t>
      </w:r>
      <w:commentRangeStart w:id="10"/>
      <w:r>
        <w:rPr>
          <w:i w:val="false"/>
          <w:iCs w:val="false"/>
        </w:rPr>
        <w:t>x variant loci across y samples</w:t>
      </w:r>
      <w:r>
        <w:rPr>
          <w:i w:val="false"/>
          <w:iCs w:val="false"/>
        </w:rPr>
      </w:r>
      <w:commentRangeEnd w:id="10"/>
      <w:r>
        <w:commentReference w:id="10"/>
      </w:r>
      <w:r>
        <w:rPr>
          <w:i w:val="false"/>
          <w:iCs w:val="false"/>
        </w:rPr>
        <w:t xml:space="preserve">. There was no clear pattern of method-associated per-locus missing data in the filtered loci and samples </w:t>
      </w:r>
      <w:commentRangeStart w:id="11"/>
      <w:r>
        <w:rPr>
          <w:i w:val="false"/>
          <w:iCs w:val="false"/>
        </w:rPr>
        <w:t>(Fig x)</w:t>
      </w:r>
      <w:r>
        <w:rPr>
          <w:i w:val="false"/>
          <w:iCs w:val="false"/>
        </w:rPr>
      </w:r>
      <w:commentRangeEnd w:id="11"/>
      <w:r>
        <w:commentReference w:id="11"/>
      </w:r>
      <w:r>
        <w:rPr>
          <w:i w:val="false"/>
          <w:iCs w:val="false"/>
        </w:rPr>
        <w:t xml:space="preserve">, which indicates a successful combination of the ddRAD and 3RAD datasets. Furthermore, the variance of the number of recovered variant loci among all possible reference genomes was very low </w:t>
      </w:r>
      <w:commentRangeStart w:id="12"/>
      <w:r>
        <w:rPr>
          <w:i w:val="false"/>
          <w:iCs w:val="false"/>
        </w:rPr>
        <w:t>(mean; sd)</w:t>
      </w:r>
      <w:r>
        <w:rPr>
          <w:i w:val="false"/>
          <w:iCs w:val="false"/>
        </w:rPr>
      </w:r>
      <w:commentRangeEnd w:id="12"/>
      <w:r>
        <w:commentReference w:id="12"/>
      </w:r>
      <w:r>
        <w:rPr>
          <w:i w:val="false"/>
          <w:iCs w:val="false"/>
        </w:rPr>
        <w:t>, corroborating the absence of measurable reference bias in the mapping and variant calling process.</w:t>
      </w:r>
    </w:p>
    <w:p>
      <w:pPr>
        <w:pStyle w:val="Heading2"/>
        <w:numPr>
          <w:ilvl w:val="1"/>
          <w:numId w:val="1"/>
        </w:numPr>
        <w:ind w:hanging="0" w:start="0"/>
        <w:rPr/>
      </w:pPr>
      <w:bookmarkStart w:id="35" w:name="__RefHeading___Toc502_1518100382"/>
      <w:bookmarkEnd w:id="35"/>
      <w:r>
        <w:rPr/>
        <w:t xml:space="preserve">5.2 Population </w:t>
      </w:r>
      <w:r>
        <w:rPr/>
        <w:t>genomics</w:t>
      </w:r>
    </w:p>
    <w:p>
      <w:pPr>
        <w:pStyle w:val="BodyText"/>
        <w:rPr/>
      </w:pPr>
      <w:r>
        <w:rPr/>
        <w:t xml:space="preserve">The PCA analysis converged after </w:t>
      </w:r>
      <w:commentRangeStart w:id="13"/>
      <w:r>
        <w:rPr/>
        <w:t>x</w:t>
      </w:r>
      <w:r>
        <w:rPr/>
      </w:r>
      <w:commentRangeEnd w:id="13"/>
      <w:r>
        <w:commentReference w:id="13"/>
      </w:r>
      <w:r>
        <w:rPr/>
        <w:t xml:space="preserve"> generations and decomposed the variance of the data into</w:t>
      </w:r>
      <w:commentRangeStart w:id="14"/>
      <w:r>
        <w:rPr/>
        <w:t xml:space="preserve"> y</w:t>
      </w:r>
      <w:r>
        <w:rPr/>
      </w:r>
      <w:commentRangeEnd w:id="14"/>
      <w:r>
        <w:commentReference w:id="14"/>
      </w:r>
      <w:r>
        <w:rPr/>
        <w:t xml:space="preserve"> principal components, with the first two components accounting for </w:t>
      </w:r>
      <w:commentRangeStart w:id="15"/>
      <w:r>
        <w:rPr/>
        <w:t>k%</w:t>
      </w:r>
      <w:r>
        <w:rPr/>
      </w:r>
      <w:commentRangeEnd w:id="15"/>
      <w:r>
        <w:commentReference w:id="15"/>
      </w:r>
      <w:r>
        <w:rPr/>
        <w:t xml:space="preserve"> of the total variance </w:t>
      </w:r>
      <w:commentRangeStart w:id="16"/>
      <w:r>
        <w:rPr/>
        <w:t>(Fig x, Supplementary Figure y)</w:t>
      </w:r>
      <w:r>
        <w:rPr/>
      </w:r>
      <w:commentRangeEnd w:id="16"/>
      <w:r>
        <w:commentReference w:id="16"/>
      </w:r>
      <w:r>
        <w:rPr/>
        <w:t xml:space="preserve">. Overall, the structure observed in the PCA follows some pre-established expectations </w:t>
      </w:r>
      <w:commentRangeStart w:id="17"/>
      <w:r>
        <w:rPr/>
        <w:t>(Fig x)</w:t>
      </w:r>
      <w:r>
        <w:rPr/>
      </w:r>
      <w:commentRangeEnd w:id="17"/>
      <w:r>
        <w:commentReference w:id="17"/>
      </w:r>
      <w:r>
        <w:rPr/>
        <w:t>, namely: the separation of samples previously identified as being pure individuals along the main axes of variance; the presence of putative, previously suspected hybrids between pairs of pure sample clusters; and the stratification of putative hybrids corresponding roughly to the expected presence of F1 hybrids and backcrosses.</w:t>
      </w:r>
    </w:p>
    <w:p>
      <w:pPr>
        <w:pStyle w:val="BodyTextFirstIndent"/>
        <w:rPr/>
      </w:pPr>
      <w:r>
        <w:rPr/>
        <w:t xml:space="preserve">We confirmed the observations about the structuring of the samples through an ADMIXTURE analysis. Both the </w:t>
      </w:r>
      <w:r>
        <w:rPr>
          <w:i/>
          <w:iCs/>
        </w:rPr>
        <w:t>evalAdmix</w:t>
      </w:r>
      <w:r>
        <w:rPr>
          <w:i w:val="false"/>
          <w:iCs w:val="false"/>
        </w:rPr>
        <w:t xml:space="preserve"> and the DMI results point towards an optimal </w:t>
      </w:r>
      <w:r>
        <w:rPr>
          <w:i/>
          <w:iCs/>
        </w:rPr>
        <w:t>K</w:t>
      </w:r>
      <w:r>
        <w:rPr>
          <w:i w:val="false"/>
          <w:iCs w:val="false"/>
        </w:rPr>
        <w:t xml:space="preserve"> value of five, although a value of four – reflecting the number of parental species among our samples – seems to be </w:t>
      </w:r>
      <w:r>
        <w:rPr>
          <w:i w:val="false"/>
          <w:iCs w:val="false"/>
        </w:rPr>
        <w:t xml:space="preserve">similarly well </w:t>
      </w:r>
      <w:r>
        <w:rPr>
          <w:i w:val="false"/>
          <w:iCs w:val="false"/>
        </w:rPr>
        <w:t xml:space="preserve">supported by </w:t>
      </w:r>
      <w:r>
        <w:rPr>
          <w:i/>
          <w:iCs/>
        </w:rPr>
        <w:t>evalAdmix</w:t>
      </w:r>
      <w:r>
        <w:rPr>
          <w:i w:val="false"/>
          <w:iCs w:val="false"/>
        </w:rPr>
        <w:t xml:space="preserve"> </w:t>
      </w:r>
      <w:commentRangeStart w:id="18"/>
      <w:r>
        <w:rPr>
          <w:i w:val="false"/>
          <w:iCs w:val="false"/>
        </w:rPr>
        <w:t>(Supplementary Figure x)</w:t>
      </w:r>
      <w:r>
        <w:rPr>
          <w:i w:val="false"/>
          <w:iCs w:val="false"/>
        </w:rPr>
      </w:r>
      <w:commentRangeEnd w:id="18"/>
      <w:r>
        <w:commentReference w:id="18"/>
      </w:r>
      <w:r>
        <w:rPr>
          <w:i w:val="false"/>
          <w:iCs w:val="false"/>
        </w:rPr>
        <w:t xml:space="preserve">. </w:t>
      </w:r>
      <w:r>
        <w:rPr>
          <w:i w:val="false"/>
          <w:iCs w:val="false"/>
        </w:rPr>
        <w:t>Nevertheless, for</w:t>
      </w:r>
      <w:r>
        <w:rPr>
          <w:i w:val="false"/>
          <w:iCs w:val="false"/>
        </w:rPr>
        <w:t xml:space="preserve"> both values of </w:t>
      </w:r>
      <w:r>
        <w:rPr>
          <w:i/>
          <w:iCs/>
        </w:rPr>
        <w:t>K</w:t>
      </w:r>
      <w:r>
        <w:rPr>
          <w:i w:val="false"/>
          <w:iCs w:val="false"/>
        </w:rPr>
        <w:t xml:space="preserve"> we observed a similar structure to that revealed by the PCA, with clusters of all four parental species </w:t>
      </w:r>
      <w:r>
        <w:rPr>
          <w:i w:val="false"/>
          <w:iCs w:val="false"/>
        </w:rPr>
        <w:t>appearing</w:t>
      </w:r>
      <w:r>
        <w:rPr>
          <w:i w:val="false"/>
          <w:iCs w:val="false"/>
        </w:rPr>
        <w:t xml:space="preserve"> at </w:t>
      </w:r>
      <w:r>
        <w:rPr>
          <w:i/>
          <w:iCs/>
        </w:rPr>
        <w:t xml:space="preserve">K </w:t>
      </w:r>
      <w:r>
        <w:rPr>
          <w:i w:val="false"/>
          <w:iCs w:val="false"/>
        </w:rPr>
        <w:t xml:space="preserve">= 4 </w:t>
      </w:r>
      <w:r>
        <w:rPr>
          <w:i w:val="false"/>
          <w:iCs w:val="false"/>
        </w:rPr>
        <w:t>together</w:t>
      </w:r>
      <w:r>
        <w:rPr>
          <w:i w:val="false"/>
          <w:iCs w:val="false"/>
        </w:rPr>
        <w:t xml:space="preserve"> </w:t>
      </w:r>
      <w:r>
        <w:rPr>
          <w:i w:val="false"/>
          <w:iCs w:val="false"/>
        </w:rPr>
        <w:t xml:space="preserve">with </w:t>
      </w:r>
      <w:r>
        <w:rPr>
          <w:i w:val="false"/>
          <w:iCs w:val="false"/>
        </w:rPr>
        <w:t xml:space="preserve">F1 hybrids and </w:t>
      </w:r>
      <w:r>
        <w:rPr>
          <w:i w:val="false"/>
          <w:iCs w:val="false"/>
        </w:rPr>
        <w:t xml:space="preserve">potential </w:t>
      </w:r>
      <w:r>
        <w:rPr>
          <w:i w:val="false"/>
          <w:iCs w:val="false"/>
        </w:rPr>
        <w:t xml:space="preserve">backcrosses </w:t>
      </w:r>
      <w:commentRangeStart w:id="19"/>
      <w:r>
        <w:rPr>
          <w:i w:val="false"/>
          <w:iCs w:val="false"/>
        </w:rPr>
        <w:t>(Fig Xa)</w:t>
      </w:r>
      <w:r>
        <w:rPr>
          <w:i w:val="false"/>
          <w:iCs w:val="false"/>
        </w:rPr>
      </w:r>
      <w:commentRangeEnd w:id="19"/>
      <w:r>
        <w:commentReference w:id="19"/>
      </w:r>
      <w:r>
        <w:rPr>
          <w:i w:val="false"/>
          <w:iCs w:val="false"/>
        </w:rPr>
        <w:t xml:space="preserve">, </w:t>
      </w:r>
      <w:r>
        <w:rPr>
          <w:i w:val="false"/>
          <w:iCs w:val="false"/>
        </w:rPr>
        <w:t xml:space="preserve">all of </w:t>
      </w:r>
      <w:r>
        <w:rPr>
          <w:i w:val="false"/>
          <w:iCs w:val="false"/>
        </w:rPr>
        <w:t xml:space="preserve">which </w:t>
      </w:r>
      <w:r>
        <w:rPr>
          <w:i w:val="false"/>
          <w:iCs w:val="false"/>
        </w:rPr>
        <w:t>appear</w:t>
      </w:r>
      <w:r>
        <w:rPr>
          <w:i w:val="false"/>
          <w:iCs w:val="false"/>
        </w:rPr>
        <w:t xml:space="preserve"> with </w:t>
      </w:r>
      <w:r>
        <w:rPr>
          <w:i w:val="false"/>
          <w:iCs w:val="false"/>
        </w:rPr>
        <w:t>roughly</w:t>
      </w:r>
      <w:r>
        <w:rPr>
          <w:i w:val="false"/>
          <w:iCs w:val="false"/>
        </w:rPr>
        <w:t xml:space="preserve"> the same ancestry proportions at </w:t>
      </w:r>
      <w:r>
        <w:rPr>
          <w:i/>
          <w:iCs/>
        </w:rPr>
        <w:t xml:space="preserve">K </w:t>
      </w:r>
      <w:r>
        <w:rPr>
          <w:i w:val="false"/>
          <w:iCs w:val="false"/>
        </w:rPr>
        <w:t xml:space="preserve">= 5 </w:t>
      </w:r>
      <w:commentRangeStart w:id="20"/>
      <w:r>
        <w:rPr>
          <w:i w:val="false"/>
          <w:iCs w:val="false"/>
        </w:rPr>
        <w:t>(Fig Xb)</w:t>
      </w:r>
      <w:r>
        <w:rPr>
          <w:i w:val="false"/>
          <w:iCs w:val="false"/>
        </w:rPr>
      </w:r>
      <w:commentRangeEnd w:id="20"/>
      <w:r>
        <w:commentReference w:id="20"/>
      </w:r>
      <w:r>
        <w:rPr>
          <w:i w:val="false"/>
          <w:iCs w:val="false"/>
        </w:rPr>
        <w:t xml:space="preserve">, showing the robustness of the </w:t>
      </w:r>
      <w:r>
        <w:rPr>
          <w:i w:val="false"/>
          <w:iCs w:val="false"/>
        </w:rPr>
        <w:t>result</w:t>
      </w:r>
      <w:r>
        <w:rPr>
          <w:i w:val="false"/>
          <w:iCs w:val="false"/>
        </w:rPr>
        <w:t>.</w:t>
      </w:r>
    </w:p>
    <w:p>
      <w:pPr>
        <w:pStyle w:val="BodyTextFirstIndent"/>
        <w:rPr/>
      </w:pPr>
      <w:r>
        <w:rPr>
          <w:i w:val="false"/>
          <w:iCs w:val="false"/>
        </w:rPr>
        <w:t xml:space="preserve">Interestingly, at </w:t>
      </w:r>
      <w:r>
        <w:rPr>
          <w:i/>
          <w:iCs/>
        </w:rPr>
        <w:t xml:space="preserve">K </w:t>
      </w:r>
      <w:r>
        <w:rPr>
          <w:i w:val="false"/>
          <w:iCs w:val="false"/>
        </w:rPr>
        <w:t xml:space="preserve">= 5 we observe the separation of the </w:t>
      </w:r>
      <w:r>
        <w:rPr>
          <w:i/>
          <w:iCs/>
        </w:rPr>
        <w:t>C. caretta</w:t>
      </w:r>
      <w:r>
        <w:rPr>
          <w:i w:val="false"/>
          <w:iCs w:val="false"/>
        </w:rPr>
        <w:t xml:space="preserve"> cluster into two distinct ancestry components (Fig Xb). This reflects a previously described population structuring of the </w:t>
      </w:r>
      <w:r>
        <w:rPr/>
        <w:t>loggerhead</w:t>
      </w:r>
      <w:r>
        <w:rPr>
          <w:i w:val="false"/>
          <w:iCs w:val="false"/>
        </w:rPr>
        <w:t xml:space="preserve"> populations along the Brazilian coast, associated with the Rio Grande Rise (RGR) feeding area </w:t>
      </w:r>
      <w:r>
        <w:rPr>
          <w:i w:val="false"/>
          <w:iCs w:val="false"/>
          <w:shd w:fill="FFFF00" w:val="clear"/>
        </w:rPr>
        <w:t>(Ref)</w:t>
      </w:r>
      <w:r>
        <w:rPr>
          <w:i w:val="false"/>
          <w:iCs w:val="false"/>
          <w:shd w:fill="auto" w:val="clear"/>
        </w:rPr>
        <w:t xml:space="preserve">. The Rio Grande Rise </w:t>
      </w:r>
      <w:commentRangeStart w:id="21"/>
      <w:r>
        <w:rPr>
          <w:i w:val="false"/>
          <w:iCs w:val="false"/>
          <w:shd w:fill="auto" w:val="clear"/>
        </w:rPr>
        <w:t>(Fig)</w:t>
      </w:r>
      <w:r>
        <w:rPr>
          <w:i w:val="false"/>
          <w:iCs w:val="false"/>
          <w:shd w:fill="auto" w:val="clear"/>
        </w:rPr>
      </w:r>
      <w:commentRangeEnd w:id="21"/>
      <w:r>
        <w:commentReference w:id="21"/>
      </w:r>
      <w:r>
        <w:rPr>
          <w:i w:val="false"/>
          <w:iCs w:val="false"/>
          <w:shd w:fill="auto" w:val="clear"/>
        </w:rPr>
        <w:t xml:space="preserve"> is an </w:t>
      </w:r>
      <w:commentRangeStart w:id="22"/>
      <w:r>
        <w:rPr>
          <w:i w:val="false"/>
          <w:iCs w:val="false"/>
          <w:shd w:fill="auto" w:val="clear"/>
        </w:rPr>
        <w:t>elevated oceanic plateau</w:t>
      </w:r>
      <w:r>
        <w:rPr>
          <w:i w:val="false"/>
          <w:iCs w:val="false"/>
          <w:shd w:fill="auto" w:val="clear"/>
        </w:rPr>
      </w:r>
      <w:commentRangeEnd w:id="22"/>
      <w:r>
        <w:commentReference w:id="22"/>
      </w:r>
      <w:r>
        <w:rPr>
          <w:i w:val="false"/>
          <w:iCs w:val="false"/>
          <w:shd w:fill="auto" w:val="clear"/>
        </w:rPr>
        <w:t xml:space="preserve"> located in the southeastern part of the Atlantic Ocean, outside the Brazilian exclusive economical zone </w:t>
      </w:r>
      <w:r>
        <w:rPr>
          <w:i w:val="false"/>
          <w:iCs w:val="false"/>
          <w:shd w:fill="FFFF00" w:val="clear"/>
        </w:rPr>
        <w:t>(Ref)</w:t>
      </w:r>
      <w:r>
        <w:rPr>
          <w:i w:val="false"/>
          <w:iCs w:val="false"/>
          <w:shd w:fill="auto" w:val="clear"/>
        </w:rPr>
        <w:t xml:space="preserve">. It is well-known to be a feeding area for many populations of </w:t>
      </w:r>
      <w:r>
        <w:rPr>
          <w:i/>
          <w:iCs/>
          <w:shd w:fill="auto" w:val="clear"/>
        </w:rPr>
        <w:t>C. caretta</w:t>
      </w:r>
      <w:r>
        <w:rPr>
          <w:i w:val="false"/>
          <w:iCs w:val="false"/>
          <w:shd w:fill="auto" w:val="clear"/>
        </w:rPr>
        <w:t xml:space="preserve"> from across the globe </w:t>
      </w:r>
      <w:r>
        <w:rPr>
          <w:i w:val="false"/>
          <w:iCs w:val="false"/>
          <w:shd w:fill="FFFF00" w:val="clear"/>
        </w:rPr>
        <w:t>(Ref)</w:t>
      </w:r>
      <w:r>
        <w:rPr>
          <w:i w:val="false"/>
          <w:iCs w:val="false"/>
          <w:shd w:fill="auto" w:val="clear"/>
        </w:rPr>
        <w:t xml:space="preserve">, where mature adults of these </w:t>
      </w:r>
      <w:r>
        <w:rPr>
          <w:i w:val="false"/>
          <w:iCs w:val="false"/>
          <w:shd w:fill="auto" w:val="clear"/>
        </w:rPr>
        <w:t>different</w:t>
      </w:r>
      <w:r>
        <w:rPr>
          <w:i w:val="false"/>
          <w:iCs w:val="false"/>
          <w:shd w:fill="auto" w:val="clear"/>
        </w:rPr>
        <w:t xml:space="preserve"> populations </w:t>
      </w:r>
      <w:r>
        <w:rPr>
          <w:i w:val="false"/>
          <w:iCs w:val="false"/>
          <w:shd w:fill="auto" w:val="clear"/>
        </w:rPr>
        <w:t>are known to interbreed</w:t>
      </w:r>
      <w:r>
        <w:rPr>
          <w:i w:val="false"/>
          <w:iCs w:val="false"/>
          <w:shd w:fill="auto" w:val="clear"/>
        </w:rPr>
        <w:t xml:space="preserve"> </w:t>
      </w:r>
      <w:r>
        <w:rPr>
          <w:i w:val="false"/>
          <w:iCs w:val="false"/>
          <w:shd w:fill="FFFF00" w:val="clear"/>
        </w:rPr>
        <w:t>(Ref)</w:t>
      </w:r>
      <w:r>
        <w:rPr>
          <w:i w:val="false"/>
          <w:iCs w:val="false"/>
          <w:shd w:fill="auto" w:val="clear"/>
        </w:rPr>
        <w:t xml:space="preserve">. Some of the offspring of these individuals could be phylopatric to the nesting areas of the Brazilian parentals, </w:t>
      </w:r>
      <w:r>
        <w:rPr>
          <w:i w:val="false"/>
          <w:iCs w:val="false"/>
          <w:shd w:fill="auto" w:val="clear"/>
        </w:rPr>
        <w:t xml:space="preserve">a behaviour previously described for the hybrid offspring of loggerheads X hawksbills </w:t>
      </w:r>
      <w:commentRangeStart w:id="23"/>
      <w:r>
        <w:rPr>
          <w:i w:val="false"/>
          <w:iCs w:val="false"/>
          <w:shd w:fill="auto" w:val="clear"/>
        </w:rPr>
        <w:t>(Ref)</w:t>
      </w:r>
      <w:r>
        <w:rPr>
          <w:i w:val="false"/>
          <w:iCs w:val="false"/>
          <w:shd w:fill="auto" w:val="clear"/>
        </w:rPr>
      </w:r>
      <w:commentRangeEnd w:id="23"/>
      <w:r>
        <w:commentReference w:id="23"/>
      </w:r>
      <w:r>
        <w:rPr>
          <w:i w:val="false"/>
          <w:iCs w:val="false"/>
          <w:shd w:fill="auto" w:val="clear"/>
        </w:rPr>
        <w:t xml:space="preserve">, thus explaining the observed structuring in our data. Moreover, some of our samples were collected from individuals captured at or in the vicinity of the RGR </w:t>
      </w:r>
      <w:bookmarkStart w:id="36" w:name="ZOTERO_BREF_HIWosQ0aWPU8"/>
      <w:r>
        <w:rPr>
          <w:i w:val="false"/>
          <w:iCs w:val="false"/>
          <w:shd w:fill="auto" w:val="clear"/>
        </w:rPr>
        <w:t>(2, 3)</w:t>
      </w:r>
      <w:bookmarkEnd w:id="36"/>
      <w:r>
        <w:rPr>
          <w:i w:val="false"/>
          <w:iCs w:val="false"/>
          <w:shd w:fill="auto" w:val="clear"/>
        </w:rPr>
        <w:t xml:space="preserve">, </w:t>
      </w:r>
      <w:r>
        <w:rPr>
          <w:i w:val="false"/>
          <w:iCs w:val="false"/>
          <w:shd w:fill="auto" w:val="clear"/>
        </w:rPr>
        <w:t xml:space="preserve">corroborating </w:t>
      </w:r>
      <w:r>
        <w:rPr>
          <w:i w:val="false"/>
          <w:iCs w:val="false"/>
          <w:shd w:fill="auto" w:val="clear"/>
        </w:rPr>
        <w:t>the observed population structure.</w:t>
      </w:r>
    </w:p>
    <w:p>
      <w:pPr>
        <w:pStyle w:val="BodyTextFirstIndent"/>
        <w:rPr>
          <w:i w:val="false"/>
          <w:i w:val="false"/>
          <w:iCs w:val="false"/>
          <w:shd w:fill="auto" w:val="clear"/>
        </w:rPr>
      </w:pPr>
      <w:r>
        <w:rPr>
          <w:i w:val="false"/>
          <w:iCs w:val="false"/>
          <w:shd w:fill="auto" w:val="clear"/>
        </w:rPr>
        <w:t xml:space="preserve">Another noteworthy finding is the observation of individuals of the olive ridley that seem to be either introgressed with the green turtle, or backcrosses between F1 hybrids of those two species and an olive ridley parental, evidenced in </w:t>
      </w:r>
      <w:r>
        <w:rPr>
          <w:i/>
          <w:iCs/>
          <w:shd w:fill="auto" w:val="clear"/>
        </w:rPr>
        <w:t>K</w:t>
      </w:r>
      <w:r>
        <w:rPr>
          <w:i w:val="false"/>
          <w:iCs w:val="false"/>
          <w:shd w:fill="auto" w:val="clear"/>
        </w:rPr>
        <w:t xml:space="preserve"> = 4 and </w:t>
      </w:r>
      <w:r>
        <w:rPr>
          <w:i/>
          <w:iCs/>
          <w:shd w:fill="auto" w:val="clear"/>
        </w:rPr>
        <w:t>K</w:t>
      </w:r>
      <w:r>
        <w:rPr>
          <w:i w:val="false"/>
          <w:iCs w:val="false"/>
          <w:shd w:fill="auto" w:val="clear"/>
        </w:rPr>
        <w:t xml:space="preserve"> = 5 </w:t>
      </w:r>
      <w:commentRangeStart w:id="24"/>
      <w:r>
        <w:rPr>
          <w:i w:val="false"/>
          <w:iCs w:val="false"/>
          <w:shd w:fill="auto" w:val="clear"/>
        </w:rPr>
        <w:t>(Fig)</w:t>
      </w:r>
      <w:r>
        <w:rPr>
          <w:i w:val="false"/>
          <w:iCs w:val="false"/>
          <w:shd w:fill="auto" w:val="clear"/>
        </w:rPr>
      </w:r>
      <w:commentRangeEnd w:id="24"/>
      <w:r>
        <w:commentReference w:id="24"/>
      </w:r>
      <w:r>
        <w:rPr>
          <w:i w:val="false"/>
          <w:iCs w:val="false"/>
          <w:shd w:fill="auto" w:val="clear"/>
        </w:rPr>
        <w:t xml:space="preserve">. The reason why this result is particularly remarkable stems from the fact that the estimated divergence time between </w:t>
      </w:r>
      <w:r>
        <w:rPr>
          <w:i/>
          <w:iCs/>
          <w:shd w:fill="auto" w:val="clear"/>
        </w:rPr>
        <w:t>C. mydas</w:t>
      </w:r>
      <w:r>
        <w:rPr>
          <w:i w:val="false"/>
          <w:iCs w:val="false"/>
          <w:shd w:fill="auto" w:val="clear"/>
        </w:rPr>
        <w:t xml:space="preserve"> and the clade containing </w:t>
      </w:r>
      <w:r>
        <w:rPr>
          <w:i/>
          <w:iCs/>
          <w:shd w:fill="auto" w:val="clear"/>
        </w:rPr>
        <w:t>C. caretta</w:t>
      </w:r>
      <w:r>
        <w:rPr>
          <w:i w:val="false"/>
          <w:iCs w:val="false"/>
          <w:shd w:fill="auto" w:val="clear"/>
        </w:rPr>
        <w:t xml:space="preserve"> and the genus </w:t>
      </w:r>
      <w:r>
        <w:rPr>
          <w:i/>
          <w:iCs/>
          <w:shd w:fill="auto" w:val="clear"/>
        </w:rPr>
        <w:t xml:space="preserve">Lepidochelys </w:t>
      </w:r>
      <w:r>
        <w:rPr>
          <w:i w:val="false"/>
          <w:iCs w:val="false"/>
          <w:shd w:fill="auto" w:val="clear"/>
        </w:rPr>
        <w:t xml:space="preserve">is of about 40 Mya </w:t>
      </w:r>
      <w:r>
        <w:rPr>
          <w:i w:val="false"/>
          <w:iCs w:val="false"/>
          <w:shd w:fill="FFFF00" w:val="clear"/>
        </w:rPr>
        <w:t>(Ref)</w:t>
      </w:r>
      <w:r>
        <w:rPr>
          <w:i w:val="false"/>
          <w:iCs w:val="false"/>
          <w:shd w:fill="auto" w:val="clear"/>
        </w:rPr>
        <w:t xml:space="preserve">, a length of time at which successful hybridisation among vertebrate species is usually unexpected – although the formation of hybrids between species with even older divergence times is observed in sturgeons in lab settings </w:t>
      </w:r>
      <w:commentRangeStart w:id="25"/>
      <w:r>
        <w:rPr>
          <w:i w:val="false"/>
          <w:iCs w:val="false"/>
          <w:shd w:fill="auto" w:val="clear"/>
        </w:rPr>
        <w:t>(Ref)</w:t>
      </w:r>
      <w:r>
        <w:rPr>
          <w:i w:val="false"/>
          <w:iCs w:val="false"/>
          <w:shd w:fill="auto" w:val="clear"/>
        </w:rPr>
      </w:r>
      <w:commentRangeEnd w:id="25"/>
      <w:r>
        <w:commentReference w:id="25"/>
      </w:r>
      <w:r>
        <w:rPr>
          <w:i w:val="false"/>
          <w:iCs w:val="false"/>
          <w:shd w:fill="auto" w:val="clear"/>
        </w:rPr>
        <w:t xml:space="preserve"> and gars in nature </w:t>
      </w:r>
      <w:commentRangeStart w:id="26"/>
      <w:r>
        <w:rPr>
          <w:i w:val="false"/>
          <w:iCs w:val="false"/>
          <w:shd w:fill="auto" w:val="clear"/>
        </w:rPr>
        <w:t>(Ref)</w:t>
      </w:r>
      <w:r>
        <w:rPr>
          <w:i w:val="false"/>
          <w:iCs w:val="false"/>
          <w:shd w:fill="auto" w:val="clear"/>
        </w:rPr>
      </w:r>
      <w:commentRangeEnd w:id="26"/>
      <w:r>
        <w:commentReference w:id="26"/>
      </w:r>
      <w:r>
        <w:rPr>
          <w:i w:val="false"/>
          <w:iCs w:val="false"/>
          <w:shd w:fill="auto" w:val="clear"/>
        </w:rPr>
        <w:t>.</w:t>
      </w:r>
    </w:p>
    <w:p>
      <w:pPr>
        <w:pStyle w:val="BodyTextFirstIndent"/>
        <w:rPr/>
      </w:pPr>
      <w:r>
        <w:rPr>
          <w:i w:val="false"/>
          <w:iCs w:val="false"/>
          <w:shd w:fill="auto" w:val="clear"/>
        </w:rPr>
        <w:t xml:space="preserve">Lastly, we also found evidences of samples to seem to be hybrids between three different species (henceforth called “triple hybrids”), namely the loggerhead </w:t>
      </w:r>
      <w:r>
        <w:rPr>
          <w:i/>
          <w:iCs/>
          <w:shd w:fill="auto" w:val="clear"/>
        </w:rPr>
        <w:t>C. caretta</w:t>
      </w:r>
      <w:r>
        <w:rPr>
          <w:i w:val="false"/>
          <w:iCs w:val="false"/>
          <w:shd w:fill="auto" w:val="clear"/>
        </w:rPr>
        <w:t xml:space="preserve">, the hawksbill </w:t>
      </w:r>
      <w:r>
        <w:rPr>
          <w:i/>
          <w:iCs/>
          <w:shd w:fill="auto" w:val="clear"/>
        </w:rPr>
        <w:t xml:space="preserve">E. imbricata </w:t>
      </w:r>
      <w:r>
        <w:rPr>
          <w:i w:val="false"/>
          <w:iCs w:val="false"/>
          <w:shd w:fill="auto" w:val="clear"/>
        </w:rPr>
        <w:t xml:space="preserve">and the green turtle </w:t>
      </w:r>
      <w:r>
        <w:rPr>
          <w:i/>
          <w:iCs/>
          <w:shd w:fill="auto" w:val="clear"/>
        </w:rPr>
        <w:t xml:space="preserve">C. mydas </w:t>
      </w:r>
      <w:r>
        <w:rPr>
          <w:i w:val="false"/>
          <w:iCs w:val="false"/>
          <w:shd w:fill="FFFF00" w:val="clear"/>
        </w:rPr>
        <w:t>(Fig)</w:t>
      </w:r>
      <w:r>
        <w:rPr>
          <w:i w:val="false"/>
          <w:iCs w:val="false"/>
          <w:shd w:fill="auto" w:val="clear"/>
        </w:rPr>
        <w:t xml:space="preserve">. This result is observed at both values of </w:t>
      </w:r>
      <w:r>
        <w:rPr>
          <w:i/>
          <w:iCs/>
          <w:shd w:fill="auto" w:val="clear"/>
        </w:rPr>
        <w:t>K</w:t>
      </w:r>
      <w:r>
        <w:rPr>
          <w:i w:val="false"/>
          <w:iCs w:val="false"/>
          <w:shd w:fill="auto" w:val="clear"/>
        </w:rPr>
        <w:t xml:space="preserve">, and it corroborates previous findings where a subset of the same data was analysed within a smaller scope and without a high-quality reference genome for alignment </w:t>
      </w:r>
      <w:r>
        <w:rPr>
          <w:i w:val="false"/>
          <w:iCs w:val="false"/>
          <w:shd w:fill="FFFF00" w:val="clear"/>
        </w:rPr>
        <w:t>(Ref)</w:t>
      </w:r>
      <w:r>
        <w:rPr>
          <w:i w:val="false"/>
          <w:iCs w:val="false"/>
          <w:shd w:fill="auto" w:val="clear"/>
        </w:rPr>
        <w:t xml:space="preserve">. Perhaps most notably is the fact that these supposed triple hybrids have an almost perfect proportion of all three ancestry components, a result that could be expected to arise from the backcross of an F1 hybrid with a third parental species. It would presumably be highly informative to understand the order of those putative crossings as that could shed light into the viability and compatibility aspects of sea turtle hybrids, although this information is currently lacking. Perhaps, combining the genomic data with mitochondrial haplotypes could help resolve this conundrum. Yet, these results in particular must be taken with care, since these suspected triple hybrids are among the samples with a high degree of missing data </w:t>
      </w:r>
      <w:r>
        <w:rPr>
          <w:i w:val="false"/>
          <w:iCs w:val="false"/>
          <w:shd w:fill="FFFF00" w:val="clear"/>
        </w:rPr>
        <w:t>(Fig/Table/Sup)</w:t>
      </w:r>
      <w:r>
        <w:rPr>
          <w:i w:val="false"/>
          <w:iCs w:val="false"/>
          <w:shd w:fill="auto" w:val="clear"/>
        </w:rPr>
        <w:t>.</w:t>
      </w:r>
    </w:p>
    <w:p>
      <w:pPr>
        <w:pStyle w:val="BodyTextFirstIndent"/>
        <w:ind w:hanging="0"/>
        <w:rPr/>
      </w:pPr>
      <w:r>
        <w:rPr/>
      </w:r>
    </w:p>
    <w:p>
      <w:pPr>
        <w:pStyle w:val="BodyTextFirstIndent"/>
        <w:ind w:hanging="0"/>
        <w:rPr/>
      </w:pPr>
      <w:r>
        <w:rPr/>
      </w:r>
    </w:p>
    <w:p>
      <w:pPr>
        <w:pStyle w:val="Heading1"/>
        <w:numPr>
          <w:ilvl w:val="0"/>
          <w:numId w:val="1"/>
        </w:numPr>
        <w:ind w:hanging="0" w:start="0"/>
        <w:rPr/>
      </w:pPr>
      <w:r>
        <w:rPr/>
        <w:t>6 Future perspectives</w:t>
      </w:r>
    </w:p>
    <w:p>
      <w:pPr>
        <w:pStyle w:val="BodyText"/>
        <w:rPr/>
      </w:pPr>
      <w:r>
        <w:rPr/>
        <w:t xml:space="preserve">The results found so far point towards deep and complex history of hybridisation between species of the endangered sea turtles, and the consequences of this phenomenon are yet to be understood, even at a surface level. Our goal for the continuity of this work can be summarised in two major objectives: 1) confirm the extent of hybridisation among our samples, while trying to corroborate the existence of triple hybrids and hybrids involving </w:t>
      </w:r>
      <w:r>
        <w:rPr>
          <w:i/>
          <w:iCs/>
        </w:rPr>
        <w:t>C. mydas</w:t>
      </w:r>
      <w:r>
        <w:rPr>
          <w:i w:val="false"/>
          <w:iCs w:val="false"/>
        </w:rPr>
        <w:t>; and 2) understand the genomic consequences of hybridisation among those species by identifying genomic regions with mixed ancestry and trying to associate the functional aspects of those regions with ecological and biological aspects that are critical for the viability of these offspring, such as migratory behaviour, feeding adaptations and fertility.</w:t>
      </w:r>
    </w:p>
    <w:p>
      <w:pPr>
        <w:pStyle w:val="BodyTextFirstIndent"/>
        <w:rPr>
          <w:i w:val="false"/>
          <w:i w:val="false"/>
          <w:iCs w:val="false"/>
        </w:rPr>
      </w:pPr>
      <w:r>
        <w:rPr>
          <w:i w:val="false"/>
          <w:iCs w:val="false"/>
        </w:rPr>
        <w:t xml:space="preserve">For objective one, we can use the relationship between the hybrid index and the genome-wide average heterozygosity of samples with indications of being hybrids between only two species (e.g. based on the ADMIXTURE results) to positively identify their generation (i.e. if they are F1 hybrids, F2 hybrids, backcrosses). To that end, we will construct a triangle plot, a type of ternary plot common for this type of analysis, using the hybrid index and heterozygosity values calculated by </w:t>
      </w:r>
      <w:r>
        <w:rPr>
          <w:i/>
          <w:iCs/>
        </w:rPr>
        <w:t>entropy</w:t>
      </w:r>
      <w:r>
        <w:rPr>
          <w:i w:val="false"/>
          <w:iCs w:val="false"/>
        </w:rPr>
        <w:t xml:space="preserve"> </w:t>
      </w:r>
      <w:r>
        <w:rPr>
          <w:i w:val="false"/>
          <w:iCs w:val="false"/>
          <w:color w:val="000000"/>
          <w:shd w:fill="FFFF00" w:val="clear"/>
        </w:rPr>
        <w:t>(Ref)</w:t>
      </w:r>
      <w:r>
        <w:rPr>
          <w:i w:val="false"/>
          <w:iCs w:val="false"/>
        </w:rPr>
        <w:t xml:space="preserve">, based on the genotype likelihoods. As for the samples suspected of being triple hybrids, one possible approach could be sub-sampling loci with very low missing data (or even zero missing data) among all samples and then re-evaluating the ADMIXTURE results, which would give us an indication of whether or not their triple hybrid status is an artefact caused by the extent of missing data. Additionally, we can further sub-sample the recovered loci based on their deviation from the Hardy-Weinberg equilibrium, which can be calculated using </w:t>
      </w:r>
      <w:r>
        <w:rPr>
          <w:i/>
          <w:iCs/>
        </w:rPr>
        <w:t xml:space="preserve">PLINK2 </w:t>
      </w:r>
      <w:r>
        <w:rPr>
          <w:i w:val="false"/>
          <w:iCs w:val="false"/>
          <w:shd w:fill="FFFF00" w:val="clear"/>
        </w:rPr>
        <w:t>(Ref)</w:t>
      </w:r>
      <w:r>
        <w:rPr>
          <w:i w:val="false"/>
          <w:iCs w:val="false"/>
        </w:rPr>
        <w:t xml:space="preserve">, since typically ADMIXTURE and STRUCTURE analyses alike depend on the assumption that populations are in equilibrium </w:t>
      </w:r>
      <w:r>
        <w:rPr>
          <w:i w:val="false"/>
          <w:iCs w:val="false"/>
          <w:shd w:fill="FFFF00" w:val="clear"/>
        </w:rPr>
        <w:t>(Ref)</w:t>
      </w:r>
      <w:r>
        <w:rPr>
          <w:i w:val="false"/>
          <w:iCs w:val="false"/>
        </w:rPr>
        <w:t xml:space="preserve">. We must also confirm the population structure observed in </w:t>
      </w:r>
      <w:r>
        <w:rPr>
          <w:i/>
          <w:iCs/>
        </w:rPr>
        <w:t>C. caretta</w:t>
      </w:r>
      <w:r>
        <w:rPr>
          <w:i w:val="false"/>
          <w:iCs w:val="false"/>
        </w:rPr>
        <w:t>. This can be done by evaluating the pairwise genetic distance between populations, calculated as the fixation index (</w:t>
      </w:r>
      <w:r>
        <w:rPr>
          <w:i/>
          <w:iCs/>
        </w:rPr>
        <w:t>F</w:t>
      </w:r>
      <w:r>
        <w:rPr>
          <w:i/>
          <w:iCs/>
          <w:vertAlign w:val="subscript"/>
        </w:rPr>
        <w:t>ST</w:t>
      </w:r>
      <w:r>
        <w:rPr>
          <w:i w:val="false"/>
          <w:iCs w:val="false"/>
          <w:position w:val="0"/>
          <w:sz w:val="24"/>
          <w:vertAlign w:val="baseline"/>
        </w:rPr>
        <w:t xml:space="preserve">), which can be estimated by </w:t>
      </w:r>
      <w:r>
        <w:rPr>
          <w:i/>
          <w:iCs/>
          <w:position w:val="0"/>
          <w:sz w:val="24"/>
          <w:vertAlign w:val="baseline"/>
        </w:rPr>
        <w:t>ANGSD</w:t>
      </w:r>
      <w:r>
        <w:rPr>
          <w:i w:val="false"/>
          <w:iCs w:val="false"/>
          <w:position w:val="0"/>
          <w:sz w:val="24"/>
          <w:vertAlign w:val="baseline"/>
        </w:rPr>
        <w:t xml:space="preserve"> </w:t>
      </w:r>
      <w:r>
        <w:rPr>
          <w:i w:val="false"/>
          <w:iCs w:val="false"/>
          <w:position w:val="0"/>
          <w:sz w:val="24"/>
          <w:shd w:fill="FFFF00" w:val="clear"/>
          <w:vertAlign w:val="baseline"/>
        </w:rPr>
        <w:t>(Ref)</w:t>
      </w:r>
      <w:r>
        <w:rPr>
          <w:i w:val="false"/>
          <w:iCs w:val="false"/>
          <w:position w:val="0"/>
          <w:sz w:val="24"/>
          <w:vertAlign w:val="baseline"/>
        </w:rPr>
        <w:t xml:space="preserve"> using genotype likelihoods data. In addition to that, a phylogenetic tree estimated from variant data, such as the maximum-likelihood trees produced by </w:t>
      </w:r>
      <w:r>
        <w:rPr>
          <w:i/>
          <w:iCs/>
          <w:position w:val="0"/>
          <w:sz w:val="24"/>
          <w:vertAlign w:val="baseline"/>
        </w:rPr>
        <w:t xml:space="preserve">IQ-Tree </w:t>
      </w:r>
      <w:r>
        <w:rPr>
          <w:i w:val="false"/>
          <w:iCs w:val="false"/>
          <w:position w:val="0"/>
          <w:sz w:val="24"/>
          <w:shd w:fill="FFFF00" w:val="clear"/>
          <w:vertAlign w:val="baseline"/>
        </w:rPr>
        <w:t>(Ref)</w:t>
      </w:r>
      <w:r>
        <w:rPr>
          <w:i w:val="false"/>
          <w:iCs w:val="false"/>
          <w:position w:val="0"/>
          <w:sz w:val="24"/>
          <w:vertAlign w:val="baseline"/>
        </w:rPr>
        <w:t xml:space="preserve"> could reflect a split between populations of </w:t>
      </w:r>
      <w:r>
        <w:rPr>
          <w:i/>
          <w:iCs/>
          <w:position w:val="0"/>
          <w:sz w:val="24"/>
          <w:vertAlign w:val="baseline"/>
        </w:rPr>
        <w:t>C. caretta</w:t>
      </w:r>
      <w:r>
        <w:rPr>
          <w:i w:val="false"/>
          <w:iCs w:val="false"/>
          <w:position w:val="0"/>
          <w:sz w:val="24"/>
          <w:vertAlign w:val="baseline"/>
        </w:rPr>
        <w:t>, thus corroborating our results.</w:t>
      </w:r>
    </w:p>
    <w:p>
      <w:pPr>
        <w:pStyle w:val="BodyTextFirstIndent"/>
        <w:rPr>
          <w:i w:val="false"/>
          <w:i w:val="false"/>
          <w:iCs w:val="false"/>
        </w:rPr>
      </w:pPr>
      <w:r>
        <w:rPr>
          <w:i w:val="false"/>
          <w:iCs w:val="false"/>
          <w:position w:val="0"/>
          <w:sz w:val="24"/>
          <w:vertAlign w:val="baseline"/>
        </w:rPr>
        <w:t>Still under objective one, it is important to consider and understand how past dynamics in regards to the population history of those species have shaped their genetic diversity and how this could be impacted by – or even help explain – the observed extent of hybridisation. We can achieve this by calculating the population-level genetic diversity, using metrics such as the nucleotide diversity (</w:t>
      </w:r>
      <w:r>
        <w:rPr>
          <w:rFonts w:eastAsia="Noto Serif CJK SC" w:cs="Noto Sans Devanagari" w:ascii="Liberation Serif" w:hAnsi="Liberation Serif"/>
          <w:i/>
          <w:iCs/>
          <w:position w:val="0"/>
          <w:sz w:val="24"/>
          <w:vertAlign w:val="baseline"/>
        </w:rPr>
        <w:t>π</w:t>
      </w:r>
      <w:r>
        <w:rPr>
          <w:rFonts w:eastAsia="Noto Serif CJK SC" w:cs="Noto Sans Devanagari"/>
          <w:i w:val="false"/>
          <w:iCs w:val="false"/>
          <w:position w:val="0"/>
          <w:sz w:val="24"/>
          <w:vertAlign w:val="baseline"/>
        </w:rPr>
        <w:t xml:space="preserve">), Tajima’s </w:t>
      </w:r>
      <w:r>
        <w:rPr>
          <w:rFonts w:eastAsia="Noto Serif CJK SC" w:cs="Noto Sans Devanagari"/>
          <w:i/>
          <w:iCs/>
          <w:position w:val="0"/>
          <w:sz w:val="24"/>
          <w:vertAlign w:val="baseline"/>
        </w:rPr>
        <w:t>D</w:t>
      </w:r>
      <w:r>
        <w:rPr>
          <w:rFonts w:eastAsia="Noto Serif CJK SC" w:cs="Noto Sans Devanagari"/>
          <w:i w:val="false"/>
          <w:iCs w:val="false"/>
          <w:position w:val="0"/>
          <w:sz w:val="24"/>
          <w:vertAlign w:val="baseline"/>
        </w:rPr>
        <w:t xml:space="preserve"> test of neutrality and the Watterson estimator of genetic diversity (</w:t>
      </w:r>
      <w:r>
        <w:rPr>
          <w:rFonts w:eastAsia="Noto Serif CJK SC" w:cs="Noto Sans Devanagari" w:ascii="Times New Roman" w:hAnsi="Times New Roman"/>
          <w:i/>
          <w:iCs/>
          <w:position w:val="0"/>
          <w:sz w:val="24"/>
          <w:vertAlign w:val="baseline"/>
        </w:rPr>
        <w:t>θ</w:t>
      </w:r>
      <w:r>
        <w:rPr>
          <w:rFonts w:eastAsia="Noto Serif CJK SC" w:cs="Noto Sans Devanagari"/>
          <w:i w:val="false"/>
          <w:iCs w:val="false"/>
          <w:position w:val="0"/>
          <w:sz w:val="24"/>
          <w:vertAlign w:val="baseline"/>
        </w:rPr>
        <w:t xml:space="preserve">), all of which can be calculated using genotype likelihoods in </w:t>
      </w:r>
      <w:r>
        <w:rPr>
          <w:rFonts w:eastAsia="Noto Serif CJK SC" w:cs="Noto Sans Devanagari"/>
          <w:i/>
          <w:iCs/>
          <w:position w:val="0"/>
          <w:sz w:val="24"/>
          <w:vertAlign w:val="baseline"/>
        </w:rPr>
        <w:t>ANGSD</w:t>
      </w:r>
      <w:r>
        <w:rPr>
          <w:rFonts w:eastAsia="Noto Serif CJK SC" w:cs="Noto Sans Devanagari"/>
          <w:i w:val="false"/>
          <w:iCs w:val="false"/>
          <w:position w:val="0"/>
          <w:sz w:val="24"/>
          <w:vertAlign w:val="baseline"/>
        </w:rPr>
        <w:t xml:space="preserve"> </w:t>
      </w:r>
      <w:r>
        <w:rPr>
          <w:rFonts w:eastAsia="Noto Serif CJK SC" w:cs="Noto Sans Devanagari"/>
          <w:i w:val="false"/>
          <w:iCs w:val="false"/>
          <w:position w:val="0"/>
          <w:sz w:val="24"/>
          <w:shd w:fill="FFFF00" w:val="clear"/>
          <w:vertAlign w:val="baseline"/>
        </w:rPr>
        <w:t>(Ref)</w:t>
      </w:r>
      <w:r>
        <w:rPr>
          <w:rFonts w:eastAsia="Noto Serif CJK SC" w:cs="Noto Sans Devanagari"/>
          <w:i w:val="false"/>
          <w:iCs w:val="false"/>
          <w:position w:val="0"/>
          <w:sz w:val="24"/>
          <w:vertAlign w:val="baseline"/>
        </w:rPr>
        <w:t xml:space="preserve">. Moreover, we can also model the historical effective population size, as well as events of population contraction and expansion using coalescent </w:t>
      </w:r>
      <w:commentRangeStart w:id="27"/>
      <w:r>
        <w:rPr>
          <w:rFonts w:eastAsia="Noto Serif CJK SC" w:cs="Noto Sans Devanagari"/>
          <w:i w:val="false"/>
          <w:iCs w:val="false"/>
          <w:position w:val="0"/>
          <w:sz w:val="24"/>
          <w:vertAlign w:val="baseline"/>
        </w:rPr>
        <w:t>(Ref)</w:t>
      </w:r>
      <w:r>
        <w:rPr>
          <w:rFonts w:eastAsia="Noto Serif CJK SC" w:cs="Noto Sans Devanagari"/>
          <w:i w:val="false"/>
          <w:iCs w:val="false"/>
          <w:position w:val="0"/>
          <w:sz w:val="24"/>
          <w:vertAlign w:val="baseline"/>
        </w:rPr>
      </w:r>
      <w:commentRangeEnd w:id="27"/>
      <w:r>
        <w:commentReference w:id="27"/>
      </w:r>
      <w:r>
        <w:rPr>
          <w:rFonts w:eastAsia="Noto Serif CJK SC" w:cs="Noto Sans Devanagari"/>
          <w:i w:val="false"/>
          <w:iCs w:val="false"/>
          <w:position w:val="0"/>
          <w:sz w:val="24"/>
          <w:vertAlign w:val="baseline"/>
        </w:rPr>
        <w:t xml:space="preserve"> and one-population frequency spectrum-based models </w:t>
      </w:r>
      <w:commentRangeStart w:id="28"/>
      <w:r>
        <w:rPr>
          <w:rFonts w:eastAsia="Noto Serif CJK SC" w:cs="Noto Sans Devanagari"/>
          <w:i w:val="false"/>
          <w:iCs w:val="false"/>
          <w:position w:val="0"/>
          <w:sz w:val="24"/>
          <w:vertAlign w:val="baseline"/>
        </w:rPr>
        <w:t>(Ref)</w:t>
      </w:r>
      <w:r>
        <w:rPr>
          <w:rFonts w:eastAsia="Noto Serif CJK SC" w:cs="Noto Sans Devanagari"/>
          <w:i w:val="false"/>
          <w:iCs w:val="false"/>
          <w:position w:val="0"/>
          <w:sz w:val="24"/>
          <w:vertAlign w:val="baseline"/>
        </w:rPr>
      </w:r>
      <w:commentRangeEnd w:id="28"/>
      <w:r>
        <w:commentReference w:id="28"/>
      </w:r>
      <w:r>
        <w:rPr>
          <w:rFonts w:eastAsia="Noto Serif CJK SC" w:cs="Noto Sans Devanagari"/>
          <w:i w:val="false"/>
          <w:iCs w:val="false"/>
          <w:position w:val="0"/>
          <w:sz w:val="24"/>
          <w:vertAlign w:val="baseline"/>
        </w:rPr>
        <w:t>.</w:t>
      </w:r>
    </w:p>
    <w:p>
      <w:pPr>
        <w:pStyle w:val="BodyTextFirstIndent"/>
        <w:rPr>
          <w:rFonts w:ascii="Times New Roman" w:hAnsi="Times New Roman" w:eastAsia="Noto Serif CJK SC" w:cs="Noto Sans Devanagari"/>
          <w:i w:val="false"/>
          <w:i w:val="false"/>
          <w:iCs w:val="false"/>
        </w:rPr>
      </w:pPr>
      <w:r>
        <w:rPr>
          <w:rFonts w:eastAsia="Noto Serif CJK SC" w:cs="Noto Sans Devanagari"/>
          <w:i w:val="false"/>
          <w:iCs w:val="false"/>
        </w:rPr>
        <w:t>As for objective number two, a sequence of distinct approaches must be employed to achieve our end goal. With our current restriction site-associated sequencing data, we are limited to only a few analyses of the genomic signatures of hybridisation. One of those would be the identification of loci that seem to act as barriers to gene flow, which we can achieve by using a prior-agnostic genomic polarisation algorithm such as the one implemented in</w:t>
      </w:r>
      <w:r>
        <w:rPr>
          <w:rFonts w:eastAsia="Noto Serif CJK SC" w:cs="Noto Sans Devanagari"/>
          <w:i/>
          <w:iCs/>
        </w:rPr>
        <w:t xml:space="preserve"> diem </w:t>
      </w:r>
      <w:r>
        <w:rPr>
          <w:rFonts w:eastAsia="Noto Serif CJK SC" w:cs="Noto Sans Devanagari"/>
          <w:i w:val="false"/>
          <w:iCs w:val="false"/>
          <w:shd w:fill="FFFF00" w:val="clear"/>
        </w:rPr>
        <w:t>(Ref)</w:t>
      </w:r>
      <w:r>
        <w:rPr>
          <w:rFonts w:eastAsia="Noto Serif CJK SC" w:cs="Noto Sans Devanagari"/>
          <w:i w:val="false"/>
          <w:iCs w:val="false"/>
        </w:rPr>
        <w:t xml:space="preserve">, as well as by analysing the distribution of genetic diversity and genetic distance metrics in windows along the genome. For additional analyses, such as the identification of large blocks of homozygous ancestry (“runs of homozygosity”), we would need a more contiguous set of genomic data, which can be achieved by performing a whole-genome re-sequencing of a set of thoughtfully selected samples. This would also enable the analysis of high-resolution genome-wise ancestry variation </w:t>
      </w:r>
      <w:commentRangeStart w:id="29"/>
      <w:r>
        <w:rPr>
          <w:rFonts w:eastAsia="Noto Serif CJK SC" w:cs="Noto Sans Devanagari"/>
          <w:i w:val="false"/>
          <w:iCs w:val="false"/>
        </w:rPr>
        <w:t>(Ref)</w:t>
      </w:r>
      <w:r>
        <w:rPr>
          <w:rFonts w:eastAsia="Noto Serif CJK SC" w:cs="Noto Sans Devanagari"/>
          <w:i w:val="false"/>
          <w:iCs w:val="false"/>
        </w:rPr>
      </w:r>
      <w:commentRangeEnd w:id="29"/>
      <w:r>
        <w:commentReference w:id="29"/>
      </w:r>
      <w:r>
        <w:rPr>
          <w:rFonts w:eastAsia="Noto Serif CJK SC" w:cs="Noto Sans Devanagari"/>
          <w:i w:val="false"/>
          <w:iCs w:val="false"/>
        </w:rPr>
        <w:t xml:space="preserve">, which can help identify target loci for further investigation. Once a set of loci has been selected, we could then make use of the existing genomic annotation for the reference genomes </w:t>
      </w:r>
      <w:commentRangeStart w:id="30"/>
      <w:r>
        <w:rPr>
          <w:rFonts w:eastAsia="Noto Serif CJK SC" w:cs="Noto Sans Devanagari"/>
          <w:i w:val="false"/>
          <w:iCs w:val="false"/>
        </w:rPr>
        <w:t>(Ref)</w:t>
      </w:r>
      <w:r>
        <w:rPr>
          <w:rFonts w:eastAsia="Noto Serif CJK SC" w:cs="Noto Sans Devanagari"/>
          <w:i w:val="false"/>
          <w:iCs w:val="false"/>
        </w:rPr>
      </w:r>
      <w:commentRangeEnd w:id="30"/>
      <w:r>
        <w:commentReference w:id="30"/>
      </w:r>
      <w:r>
        <w:rPr>
          <w:rFonts w:eastAsia="Noto Serif CJK SC" w:cs="Noto Sans Devanagari"/>
          <w:i w:val="false"/>
          <w:iCs w:val="false"/>
        </w:rPr>
        <w:t xml:space="preserve"> to associate functional traits to highly homozygous – or heterozygous – loci in hybrids, which would indicate, respectively, loci where introgression is preferentially eliminated and loci where introgression is possible and potentially favoured – which can be assessed by analysing traces of selection affecting those loci. Furthermore, we can also analyse the window-based distribution of phylogenetic trees reconstructed by sets of variant loci using an algorithm such as the one implemented in </w:t>
      </w:r>
      <w:r>
        <w:rPr>
          <w:rFonts w:eastAsia="Noto Serif CJK SC" w:cs="Noto Sans Devanagari"/>
          <w:i/>
          <w:iCs/>
        </w:rPr>
        <w:t xml:space="preserve">Twisst </w:t>
      </w:r>
      <w:r>
        <w:rPr>
          <w:rFonts w:eastAsia="Noto Serif CJK SC" w:cs="Noto Sans Devanagari"/>
          <w:i w:val="false"/>
          <w:iCs w:val="false"/>
          <w:shd w:fill="FFFF00" w:val="clear"/>
        </w:rPr>
        <w:t>(Ref)</w:t>
      </w:r>
      <w:r>
        <w:rPr>
          <w:rFonts w:eastAsia="Noto Serif CJK SC" w:cs="Noto Sans Devanagari"/>
          <w:i w:val="false"/>
          <w:iCs w:val="false"/>
        </w:rPr>
        <w:t>, which helps identify loci where introgression may cause the observed topology to deviate from the one observed across the majority of the genome.</w:t>
      </w:r>
    </w:p>
    <w:p>
      <w:pPr>
        <w:pStyle w:val="BodyTextFirstIndent"/>
        <w:rPr>
          <w:rFonts w:ascii="Times New Roman" w:hAnsi="Times New Roman" w:eastAsia="Noto Serif CJK SC" w:cs="Noto Sans Devanagari"/>
          <w:i w:val="false"/>
          <w:i w:val="false"/>
          <w:iCs w:val="false"/>
        </w:rPr>
      </w:pPr>
      <w:r>
        <w:rPr>
          <w:rFonts w:eastAsia="Noto Serif CJK SC" w:cs="Noto Sans Devanagari"/>
          <w:i w:val="false"/>
          <w:iCs w:val="false"/>
        </w:rPr>
        <w:t xml:space="preserve">Altogether, these analyses will yield a robust view of the yet not well understood consequences of hybridisation in a conservation-critical taxon at the genomic level. However, sea turtles are far from being the only taxon where these analyses would be useful to understand the impact of hybridisation over conservation efforts; in fact, sticking to the Brazilian fauna, we can mention manatees </w:t>
      </w:r>
      <w:r>
        <w:rPr>
          <w:rFonts w:eastAsia="Noto Serif CJK SC" w:cs="Noto Sans Devanagari"/>
          <w:i w:val="false"/>
          <w:iCs w:val="false"/>
          <w:shd w:fill="FFFF00" w:val="clear"/>
        </w:rPr>
        <w:t>(Ref)</w:t>
      </w:r>
      <w:r>
        <w:rPr>
          <w:rFonts w:eastAsia="Noto Serif CJK SC" w:cs="Noto Sans Devanagari"/>
          <w:i w:val="false"/>
          <w:iCs w:val="false"/>
        </w:rPr>
        <w:t xml:space="preserve"> and river dolphins </w:t>
      </w:r>
      <w:r>
        <w:rPr>
          <w:rFonts w:eastAsia="Noto Serif CJK SC" w:cs="Noto Sans Devanagari"/>
          <w:i w:val="false"/>
          <w:iCs w:val="false"/>
          <w:shd w:fill="FFFF00" w:val="clear"/>
        </w:rPr>
        <w:t>(Ref)</w:t>
      </w:r>
      <w:r>
        <w:rPr>
          <w:rFonts w:eastAsia="Noto Serif CJK SC" w:cs="Noto Sans Devanagari"/>
          <w:i w:val="false"/>
          <w:iCs w:val="false"/>
        </w:rPr>
        <w:t xml:space="preserve"> as two other prime targets for this type of investigation. Therefore, our end goal is to standardise and condense those analyses into a easy-to-use and reproducible pipeline that enables the use of different types of genomic data (e.g. ddRAD and WGS) to perform reference-based analyses of variants in the genomes of inter-specific hybrids. This goal requires the use of a pipeline definition language and engine that is easy to execute and modify, free to distribute, scalable and adaptable to different execution back-ends (e.g. SLURM-based HPC clusters, local computers, cloud platforms), portable and mostly system-agnostic, and importantly standardised, well-adopted and easy to parametrise. Considering those features, we are left with two possible workflow managers that are well-suited for bioinformatics pipelines: </w:t>
      </w:r>
      <w:r>
        <w:rPr>
          <w:rFonts w:eastAsia="Noto Serif CJK SC" w:cs="Noto Sans Devanagari"/>
          <w:i/>
          <w:iCs/>
        </w:rPr>
        <w:t>Nextflow</w:t>
      </w:r>
      <w:r>
        <w:rPr>
          <w:rFonts w:eastAsia="Noto Serif CJK SC" w:cs="Noto Sans Devanagari"/>
          <w:i w:val="false"/>
          <w:iCs w:val="false"/>
        </w:rPr>
        <w:t xml:space="preserve"> </w:t>
      </w:r>
      <w:r>
        <w:rPr>
          <w:rFonts w:eastAsia="Noto Serif CJK SC" w:cs="Noto Sans Devanagari"/>
          <w:i w:val="false"/>
          <w:iCs w:val="false"/>
          <w:shd w:fill="FFFF00" w:val="clear"/>
        </w:rPr>
        <w:t>(Ref)</w:t>
      </w:r>
      <w:r>
        <w:rPr>
          <w:rFonts w:eastAsia="Noto Serif CJK SC" w:cs="Noto Sans Devanagari"/>
          <w:i w:val="false"/>
          <w:iCs w:val="false"/>
        </w:rPr>
        <w:t xml:space="preserve"> and </w:t>
      </w:r>
      <w:r>
        <w:rPr>
          <w:rFonts w:eastAsia="Noto Serif CJK SC" w:cs="Noto Sans Devanagari"/>
          <w:i/>
          <w:iCs/>
        </w:rPr>
        <w:t>Snakemake</w:t>
      </w:r>
      <w:r>
        <w:rPr>
          <w:rFonts w:eastAsia="Noto Serif CJK SC" w:cs="Noto Sans Devanagari"/>
          <w:i w:val="false"/>
          <w:iCs w:val="false"/>
        </w:rPr>
        <w:t xml:space="preserve"> </w:t>
      </w:r>
      <w:r>
        <w:rPr>
          <w:rFonts w:eastAsia="Noto Serif CJK SC" w:cs="Noto Sans Devanagari"/>
          <w:i w:val="false"/>
          <w:iCs w:val="false"/>
          <w:shd w:fill="FFFF00" w:val="clear"/>
        </w:rPr>
        <w:t>(Ref)</w:t>
      </w:r>
      <w:r>
        <w:rPr>
          <w:rFonts w:eastAsia="Noto Serif CJK SC" w:cs="Noto Sans Devanagari"/>
          <w:i w:val="false"/>
          <w:iCs w:val="false"/>
        </w:rPr>
        <w:t>. Since the pipeline aspect of this work is a long-reaching goal, we are yet not pressed to choose one or the other, especially since they offer different trade-offs between usability and suitability.</w:t>
      </w:r>
    </w:p>
    <w:p>
      <w:pPr>
        <w:pStyle w:val="BodyTextFirstIndent"/>
        <w:rPr>
          <w:rFonts w:ascii="Times New Roman" w:hAnsi="Times New Roman" w:eastAsia="Noto Serif CJK SC" w:cs="Noto Sans Devanagari"/>
          <w:i w:val="false"/>
          <w:i w:val="false"/>
          <w:iCs w:val="false"/>
        </w:rPr>
      </w:pPr>
      <w:r>
        <w:rPr>
          <w:rFonts w:eastAsia="Noto Serif CJK SC" w:cs="Noto Sans Devanagari"/>
          <w:i w:val="false"/>
          <w:iCs w:val="false"/>
        </w:rPr>
        <w:t>In the end, we hope to able to not only shed a much needed light into the consequences of extensive hybridisation on the genetic diversity and genomic aspects of a conservation-critical taxon – the sea turtles – but also to enable the same analyses to be easily reproduced and transferred to other organisms in the future.</w:t>
      </w:r>
    </w:p>
    <w:sectPr>
      <w:headerReference w:type="even" r:id="rId8"/>
      <w:headerReference w:type="default" r:id="rId9"/>
      <w:headerReference w:type="first" r:id="rId10"/>
      <w:type w:val="nextPage"/>
      <w:pgSz w:w="11906" w:h="16838"/>
      <w:pgMar w:left="1701" w:right="1134" w:gutter="0" w:header="1701" w:top="1758" w:footer="0" w:bottom="1134"/>
      <w:pgNumType w:fmt="decimal"/>
      <w:formProt w:val="false"/>
      <w:titlePg/>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04-14T12:46:53Z" w:initials="">
    <w:p>
      <w:pPr>
        <w:overflowPunct w:val="true"/>
        <w:rPr/>
      </w:pPr>
      <w:r>
        <w:rPr>
          <w:rFonts w:eastAsia="Segoe UI" w:cs="Tahoma"/>
          <w:lang w:val="en-US" w:eastAsia="en-US" w:bidi="en-US"/>
        </w:rPr>
        <w:t>Sample distribution map</w:t>
      </w:r>
    </w:p>
  </w:comment>
  <w:comment w:id="1" w:author="Unknown Author" w:date="2025-04-14T12:45:54Z" w:initials="">
    <w:p>
      <w:pPr>
        <w:overflowPunct w:val="true"/>
        <w:rPr/>
      </w:pPr>
      <w:r>
        <w:rPr>
          <w:rFonts w:eastAsia="Segoe UI" w:cs="Tahoma"/>
          <w:lang w:val="en-US" w:eastAsia="en-US" w:bidi="en-US"/>
        </w:rPr>
        <w:t>Mean number of reads mapped</w:t>
      </w:r>
    </w:p>
  </w:comment>
  <w:comment w:id="2" w:author="Unknown Author" w:date="2025-04-14T12:46:08Z" w:initials="">
    <w:p>
      <w:pPr>
        <w:overflowPunct w:val="true"/>
        <w:rPr/>
      </w:pPr>
      <w:r>
        <w:rPr>
          <w:rFonts w:eastAsia="Segoe UI" w:cs="Tahoma"/>
          <w:lang w:val="en-US" w:eastAsia="en-US" w:bidi="en-US"/>
        </w:rPr>
        <w:t>Mean mapping depth</w:t>
      </w:r>
    </w:p>
  </w:comment>
  <w:comment w:id="3" w:author="Unknown Author" w:date="2025-04-14T12:46:21Z" w:initials="">
    <w:p>
      <w:pPr>
        <w:overflowPunct w:val="true"/>
        <w:rPr/>
      </w:pPr>
      <w:r>
        <w:rPr>
          <w:rFonts w:eastAsia="Segoe UI" w:cs="Tahoma"/>
          <w:lang w:val="en-US" w:eastAsia="en-US" w:bidi="en-US"/>
        </w:rPr>
        <w:t>PCA for all references</w:t>
      </w:r>
    </w:p>
  </w:comment>
  <w:comment w:id="4" w:author="Unknown Author" w:date="2025-04-15T13:01:01Z" w:initials="">
    <w:p>
      <w:pPr>
        <w:overflowPunct w:val="false"/>
        <w:rPr/>
      </w:pPr>
      <w:r>
        <w:rPr>
          <w:rFonts w:eastAsia="Segoe UI" w:cs="Tahoma"/>
          <w:lang w:val="en-US" w:eastAsia="en-US" w:bidi="en-US"/>
        </w:rPr>
        <w:t>Size selection fig</w:t>
      </w:r>
    </w:p>
  </w:comment>
  <w:comment w:id="5" w:author="Unknown Author" w:date="2025-04-15T13:40:37Z" w:initials="">
    <w:p>
      <w:pPr>
        <w:overflowPunct w:val="false"/>
        <w:rPr/>
      </w:pPr>
      <w:r>
        <w:rPr>
          <w:rFonts w:eastAsia="Segoe UI" w:cs="Tahoma"/>
          <w:lang w:val="en-US" w:eastAsia="en-US" w:bidi="en-US"/>
        </w:rPr>
        <w:t>How many variants</w:t>
      </w:r>
    </w:p>
  </w:comment>
  <w:comment w:id="6" w:author="Unknown Author" w:date="2025-04-15T13:40:47Z" w:initials="">
    <w:p>
      <w:pPr>
        <w:overflowPunct w:val="false"/>
        <w:rPr/>
      </w:pPr>
      <w:r>
        <w:rPr>
          <w:rFonts w:eastAsia="Segoe UI" w:cs="Tahoma"/>
          <w:lang w:val="en-US" w:eastAsia="en-US" w:bidi="en-US"/>
        </w:rPr>
        <w:t>This could be a figure instead, number of variants per reference genome</w:t>
      </w:r>
    </w:p>
  </w:comment>
  <w:comment w:id="7" w:author="Unknown Author" w:date="2025-04-15T14:59:15Z" w:initials="">
    <w:p>
      <w:pPr>
        <w:overflowPunct w:val="false"/>
        <w:rPr/>
      </w:pPr>
      <w:r>
        <w:rPr>
          <w:rFonts w:eastAsia="Segoe UI" w:cs="Tahoma"/>
          <w:lang w:val="en-US" w:eastAsia="en-US" w:bidi="en-US"/>
        </w:rPr>
        <w:t>Per sample missing</w:t>
      </w:r>
    </w:p>
  </w:comment>
  <w:comment w:id="8" w:author="Unknown Author" w:date="2025-04-15T14:59:36Z" w:initials="">
    <w:p>
      <w:pPr>
        <w:overflowPunct w:val="false"/>
        <w:rPr/>
      </w:pPr>
      <w:r>
        <w:rPr>
          <w:rFonts w:eastAsia="Segoe UI" w:cs="Tahoma"/>
          <w:lang w:val="en-US" w:eastAsia="en-US" w:bidi="en-US"/>
        </w:rPr>
        <w:t>Can also be a figure, variant counts pre-filter and after each filter</w:t>
      </w:r>
    </w:p>
  </w:comment>
  <w:comment w:id="9" w:author="Unknown Author" w:date="2025-04-15T15:02:33Z" w:initials="">
    <w:p>
      <w:pPr>
        <w:overflowPunct w:val="false"/>
        <w:rPr/>
      </w:pPr>
      <w:r>
        <w:rPr>
          <w:rFonts w:eastAsia="Segoe UI" w:cs="Tahoma"/>
          <w:lang w:val="en-US" w:eastAsia="en-US" w:bidi="en-US"/>
        </w:rPr>
        <w:t>Per locus missing</w:t>
      </w:r>
    </w:p>
  </w:comment>
  <w:comment w:id="10" w:author="Unknown Author" w:date="2025-04-15T15:03:44Z" w:initials="">
    <w:p>
      <w:pPr>
        <w:overflowPunct w:val="false"/>
        <w:rPr/>
      </w:pPr>
      <w:r>
        <w:rPr>
          <w:rFonts w:eastAsia="Segoe UI" w:cs="Tahoma"/>
          <w:lang w:val="en-US" w:eastAsia="en-US" w:bidi="en-US"/>
        </w:rPr>
        <w:t>Loci and samples after filtering</w:t>
      </w:r>
    </w:p>
  </w:comment>
  <w:comment w:id="11" w:author="Unknown Author" w:date="2025-04-15T15:07:14Z" w:initials="">
    <w:p>
      <w:pPr>
        <w:overflowPunct w:val="false"/>
        <w:rPr/>
      </w:pPr>
      <w:r>
        <w:rPr>
          <w:rFonts w:eastAsia="Segoe UI" w:cs="Tahoma"/>
          <w:lang w:val="en-US" w:eastAsia="en-US" w:bidi="en-US"/>
        </w:rPr>
        <w:t>Missing per locus  heatmap</w:t>
      </w:r>
    </w:p>
  </w:comment>
  <w:comment w:id="12" w:author="Unknown Author" w:date="2025-04-15T15:08:39Z" w:initials="">
    <w:p>
      <w:pPr>
        <w:overflowPunct w:val="false"/>
        <w:rPr/>
      </w:pPr>
      <w:r>
        <w:rPr>
          <w:rFonts w:eastAsia="Segoe UI" w:cs="Tahoma"/>
          <w:lang w:val="en-US" w:eastAsia="en-US" w:bidi="en-US"/>
        </w:rPr>
        <w:t>Variance bias counts</w:t>
      </w:r>
    </w:p>
  </w:comment>
  <w:comment w:id="13" w:author="Unknown Author" w:date="2025-04-15T15:13:28Z" w:initials="">
    <w:p>
      <w:pPr>
        <w:overflowPunct w:val="false"/>
        <w:rPr/>
      </w:pPr>
      <w:r>
        <w:rPr>
          <w:rFonts w:eastAsia="Segoe UI" w:cs="Tahoma"/>
          <w:lang w:val="en-US" w:eastAsia="en-US" w:bidi="en-US"/>
        </w:rPr>
        <w:t>Time to convergence</w:t>
      </w:r>
    </w:p>
  </w:comment>
  <w:comment w:id="14" w:author="Unknown Author" w:date="2025-04-15T15:15:24Z" w:initials="">
    <w:p>
      <w:pPr>
        <w:overflowPunct w:val="false"/>
        <w:rPr/>
      </w:pPr>
      <w:r>
        <w:rPr>
          <w:rFonts w:eastAsia="Segoe UI" w:cs="Tahoma"/>
          <w:lang w:val="en-US" w:eastAsia="en-US" w:bidi="en-US"/>
        </w:rPr>
        <w:t>Number of converged PCs</w:t>
      </w:r>
    </w:p>
  </w:comment>
  <w:comment w:id="15" w:author="Unknown Author" w:date="2025-04-15T15:15:36Z" w:initials="">
    <w:p>
      <w:pPr>
        <w:overflowPunct w:val="false"/>
        <w:rPr/>
      </w:pPr>
      <w:r>
        <w:rPr>
          <w:rFonts w:eastAsia="Segoe UI" w:cs="Tahoma"/>
          <w:lang w:val="en-US" w:eastAsia="en-US" w:bidi="en-US"/>
        </w:rPr>
        <w:t>Variance explained by PCs, supplementary figure</w:t>
      </w:r>
    </w:p>
  </w:comment>
  <w:comment w:id="16" w:author="Unknown Author" w:date="2025-04-15T15:15:55Z" w:initials="">
    <w:p>
      <w:pPr>
        <w:overflowPunct w:val="false"/>
        <w:rPr/>
      </w:pPr>
      <w:r>
        <w:rPr>
          <w:rFonts w:eastAsia="Segoe UI" w:cs="Tahoma"/>
          <w:lang w:val="en-US" w:eastAsia="en-US" w:bidi="en-US"/>
        </w:rPr>
        <w:t>Main PCA (Ndep) and supp material with the other refs and the explained variance</w:t>
      </w:r>
    </w:p>
  </w:comment>
  <w:comment w:id="17" w:author="Maycon Oliveira" w:date="2025-04-15T15:26:05Z" w:initials="MO">
    <w:p>
      <w:pPr>
        <w:overflowPunct w:val="false"/>
        <w:rPr/>
      </w:pPr>
      <w:r>
        <w:rPr>
          <w:rFonts w:eastAsia="Segoe UI" w:cs="Tahoma"/>
          <w:lang w:val="en-US" w:eastAsia="en-US" w:bidi="en-US"/>
        </w:rPr>
        <w:t>Main PCA</w:t>
      </w:r>
    </w:p>
  </w:comment>
  <w:comment w:id="18" w:author="Maycon Oliveira" w:date="2025-04-15T15:29:58Z" w:initials="MO">
    <w:p>
      <w:pPr>
        <w:overflowPunct w:val="false"/>
        <w:rPr/>
      </w:pPr>
      <w:r>
        <w:rPr>
          <w:rFonts w:eastAsia="Segoe UI" w:cs="Tahoma"/>
          <w:lang w:val="en-US" w:eastAsia="en-US" w:bidi="en-US"/>
        </w:rPr>
        <w:t>Support for K values</w:t>
      </w:r>
    </w:p>
  </w:comment>
  <w:comment w:id="19" w:author="Maycon Oliveira" w:date="2025-04-15T15:33:13Z" w:initials="MO">
    <w:p>
      <w:pPr>
        <w:overflowPunct w:val="false"/>
        <w:rPr/>
      </w:pPr>
      <w:r>
        <w:rPr>
          <w:rFonts w:eastAsia="Segoe UI" w:cs="Tahoma"/>
          <w:lang w:val="en-US" w:eastAsia="en-US" w:bidi="en-US"/>
        </w:rPr>
        <w:t>Admixture pannel, plot a, k = 4</w:t>
      </w:r>
    </w:p>
  </w:comment>
  <w:comment w:id="20" w:author="Maycon Oliveira" w:date="2025-04-15T15:34:43Z" w:initials="MO">
    <w:p>
      <w:pPr>
        <w:overflowPunct w:val="false"/>
        <w:rPr/>
      </w:pPr>
      <w:r>
        <w:rPr>
          <w:rFonts w:eastAsia="Segoe UI" w:cs="Tahoma"/>
          <w:lang w:val="en-US" w:eastAsia="en-US" w:bidi="en-US"/>
        </w:rPr>
        <w:t>Admixture pannel, plot b, k = 5</w:t>
      </w:r>
    </w:p>
  </w:comment>
  <w:comment w:id="21" w:author="Maycon Oliveira" w:date="2025-04-15T15:37:57Z" w:initials="MO">
    <w:p>
      <w:pPr>
        <w:overflowPunct w:val="false"/>
        <w:rPr/>
      </w:pPr>
      <w:r>
        <w:rPr>
          <w:rFonts w:eastAsia="Segoe UI" w:cs="Tahoma"/>
          <w:lang w:val="en-US" w:eastAsia="en-US" w:bidi="en-US"/>
        </w:rPr>
        <w:t>Maybe map, maybe a supplementary figure showcasing it</w:t>
      </w:r>
    </w:p>
  </w:comment>
  <w:comment w:id="22" w:author="Maycon Oliveira" w:date="2025-04-15T15:38:32Z" w:initials="MO">
    <w:p>
      <w:pPr>
        <w:overflowPunct w:val="false"/>
        <w:rPr/>
      </w:pPr>
      <w:r>
        <w:rPr>
          <w:rFonts w:eastAsia="Segoe UI" w:cs="Tahoma"/>
          <w:lang w:val="en-US" w:eastAsia="en-US" w:bidi="en-US"/>
        </w:rPr>
        <w:t>Fix this later, not sure if it is correct</w:t>
      </w:r>
    </w:p>
  </w:comment>
  <w:comment w:id="23" w:author="Maycon Oliveira" w:date="2025-05-01T13:47:35Z" w:initials="MO">
    <w:p>
      <w:pPr>
        <w:overflowPunct w:val="false"/>
        <w:rPr/>
      </w:pPr>
      <w:r>
        <w:rPr>
          <w:rFonts w:cs="Tahoma" w:eastAsia="Segoe UI"/>
          <w:lang w:bidi="en-US" w:eastAsia="en-US" w:val="en-US"/>
        </w:rPr>
        <w:t>O artigo de geotagging</w:t>
      </w:r>
    </w:p>
  </w:comment>
  <w:comment w:id="24" w:author="Maycon Oliveira" w:date="2025-05-01T13:52:56Z" w:initials="MO">
    <w:p>
      <w:pPr>
        <w:overflowPunct w:val="false"/>
        <w:rPr/>
      </w:pPr>
      <w:r>
        <w:rPr>
          <w:rFonts w:cs="Tahoma" w:eastAsia="Segoe UI"/>
          <w:lang w:bidi="en-US" w:eastAsia="en-US" w:val="en-US"/>
        </w:rPr>
        <w:t>admix</w:t>
      </w:r>
    </w:p>
  </w:comment>
  <w:comment w:id="25" w:author="Maycon Oliveira" w:date="2025-05-01T13:56:32Z" w:initials="MO">
    <w:p>
      <w:pPr>
        <w:overflowPunct w:val="false"/>
        <w:rPr/>
      </w:pPr>
      <w:r>
        <w:rPr>
          <w:rFonts w:cs="Tahoma" w:eastAsia="Segoe UI"/>
          <w:lang w:bidi="en-US" w:eastAsia="en-US" w:val="en-US"/>
        </w:rPr>
        <w:t>sturgeons</w:t>
      </w:r>
    </w:p>
  </w:comment>
  <w:comment w:id="26" w:author="Maycon Oliveira" w:date="2025-05-01T13:56:26Z" w:initials="MO">
    <w:p>
      <w:pPr>
        <w:overflowPunct w:val="false"/>
        <w:rPr/>
      </w:pPr>
      <w:r>
        <w:rPr>
          <w:rFonts w:cs="Tahoma" w:eastAsia="Segoe UI"/>
          <w:lang w:bidi="en-US" w:eastAsia="en-US" w:val="en-US"/>
        </w:rPr>
        <w:t>gars</w:t>
      </w:r>
    </w:p>
  </w:comment>
  <w:comment w:id="27" w:author="Maycon Oliveira" w:date="2025-05-01T15:02:21Z" w:initials="MO">
    <w:p>
      <w:pPr>
        <w:overflowPunct w:val="false"/>
        <w:rPr/>
      </w:pPr>
      <w:r>
        <w:rPr>
          <w:rFonts w:cs="Tahoma" w:eastAsia="Segoe UI"/>
          <w:lang w:bidi="en-US" w:eastAsia="en-US" w:val="en-US"/>
        </w:rPr>
        <w:t>PSMC</w:t>
      </w:r>
    </w:p>
  </w:comment>
  <w:comment w:id="28" w:author="Maycon Oliveira" w:date="2025-05-01T15:02:16Z" w:initials="MO">
    <w:p>
      <w:pPr>
        <w:overflowPunct w:val="false"/>
        <w:rPr/>
      </w:pPr>
      <w:r>
        <w:rPr>
          <w:rFonts w:cs="Tahoma" w:eastAsia="Segoe UI"/>
          <w:lang w:bidi="en-US" w:eastAsia="en-US" w:val="en-US"/>
        </w:rPr>
        <w:t>Dadi</w:t>
      </w:r>
    </w:p>
  </w:comment>
  <w:comment w:id="29" w:author="Maycon Oliveira" w:date="2025-05-01T15:16:55Z" w:initials="MO">
    <w:p>
      <w:pPr>
        <w:overflowPunct w:val="false"/>
        <w:rPr/>
      </w:pPr>
      <w:r>
        <w:rPr>
          <w:rFonts w:cs="Tahoma" w:eastAsia="Segoe UI"/>
          <w:lang w:bidi="en-US" w:eastAsia="en-US" w:val="en-US"/>
        </w:rPr>
        <w:t>wavelet</w:t>
      </w:r>
    </w:p>
  </w:comment>
  <w:comment w:id="30" w:author="Maycon Oliveira" w:date="2025-05-01T15:18:38Z" w:initials="MO">
    <w:p>
      <w:pPr>
        <w:overflowPunct w:val="false"/>
        <w:rPr/>
      </w:pPr>
      <w:r>
        <w:rPr>
          <w:rFonts w:cs="Tahoma" w:eastAsia="Segoe UI"/>
          <w:lang w:bidi="en-US" w:eastAsia="en-US" w:val="en-US"/>
        </w:rPr>
        <w:t>pre-print</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Liberation Serif">
    <w:altName w:val="Times New Roman"/>
    <w:charset w:val="01"/>
    <w:family w:val="roman"/>
    <w:pitch w:val="default"/>
  </w:font>
  <w:font w:name="Times New Roman">
    <w:charset w:val="01"/>
    <w:family w:val="roman"/>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rFonts w:ascii="Times New Roman" w:hAnsi="Times New Roman"/>
      </w:rPr>
    </w:pPr>
    <w:bookmarkStart w:id="37" w:name="PageNumWizard_HEADER_Converted27"/>
    <w:r>
      <w:rPr/>
      <w:fldChar w:fldCharType="begin"/>
    </w:r>
    <w:r>
      <w:rPr/>
      <w:instrText xml:space="preserve"> PAGE </w:instrText>
    </w:r>
    <w:r>
      <w:rPr/>
      <w:fldChar w:fldCharType="separate"/>
    </w:r>
    <w:r>
      <w:rPr/>
      <w:t>15</w:t>
    </w:r>
    <w:r>
      <w:rPr/>
      <w:fldChar w:fldCharType="end"/>
    </w:r>
    <w:bookmarkEnd w:id="37"/>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rFonts w:ascii="Times New Roman" w:hAnsi="Times New Roman"/>
      </w:rPr>
    </w:pPr>
    <w:bookmarkStart w:id="38" w:name="PageNumWizard_HEADER_First_Page6_Copy_4"/>
    <w:r>
      <w:rPr/>
      <w:fldChar w:fldCharType="begin"/>
    </w:r>
    <w:r>
      <w:rPr/>
      <w:instrText xml:space="preserve"> PAGE </w:instrText>
    </w:r>
    <w:r>
      <w:rPr/>
      <w:fldChar w:fldCharType="separate"/>
    </w:r>
    <w:r>
      <w:rPr/>
      <w:t>6</w:t>
    </w:r>
    <w:r>
      <w:rPr/>
      <w:fldChar w:fldCharType="end"/>
    </w:r>
    <w:bookmarkEnd w:id="38"/>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lowerRoman"/>
      <w:lvlText w:val="%1."/>
      <w:lvlJc w:val="end"/>
      <w:pPr>
        <w:tabs>
          <w:tab w:val="num" w:pos="754"/>
        </w:tabs>
        <w:ind w:start="754" w:hanging="174"/>
      </w:pPr>
      <w:rPr/>
    </w:lvl>
    <w:lvl w:ilvl="1">
      <w:start w:val="1"/>
      <w:numFmt w:val="upperRoman"/>
      <w:lvlText w:val="%2."/>
      <w:lvlJc w:val="end"/>
      <w:pPr>
        <w:tabs>
          <w:tab w:val="num" w:pos="1508"/>
        </w:tabs>
        <w:ind w:start="1508" w:hanging="174"/>
      </w:pPr>
      <w:rPr/>
    </w:lvl>
    <w:lvl w:ilvl="2">
      <w:start w:val="1"/>
      <w:numFmt w:val="lowerLetter"/>
      <w:lvlText w:val="%3)"/>
      <w:lvlJc w:val="start"/>
      <w:pPr>
        <w:tabs>
          <w:tab w:val="num" w:pos="2262"/>
        </w:tabs>
        <w:ind w:start="2262" w:hanging="397"/>
      </w:pPr>
      <w:rPr/>
    </w:lvl>
    <w:lvl w:ilvl="3">
      <w:start w:val="4"/>
      <w:numFmt w:val="bullet"/>
      <w:lvlText w:val=""/>
      <w:lvlJc w:val="start"/>
      <w:pPr>
        <w:tabs>
          <w:tab w:val="num" w:pos="2642"/>
        </w:tabs>
        <w:ind w:start="2642" w:hanging="374"/>
      </w:pPr>
      <w:rPr>
        <w:rFonts w:ascii="Symbol" w:hAnsi="Symbol" w:cs="Symbol" w:hint="default"/>
      </w:rPr>
    </w:lvl>
    <w:lvl w:ilvl="4">
      <w:start w:val="5"/>
      <w:numFmt w:val="bullet"/>
      <w:lvlText w:val=""/>
      <w:lvlJc w:val="start"/>
      <w:pPr>
        <w:tabs>
          <w:tab w:val="num" w:pos="3016"/>
        </w:tabs>
        <w:ind w:start="3016" w:hanging="374"/>
      </w:pPr>
      <w:rPr>
        <w:rFonts w:ascii="Symbol" w:hAnsi="Symbol" w:cs="Symbol" w:hint="default"/>
      </w:rPr>
    </w:lvl>
    <w:lvl w:ilvl="5">
      <w:start w:val="6"/>
      <w:numFmt w:val="bullet"/>
      <w:lvlText w:val=""/>
      <w:lvlJc w:val="start"/>
      <w:pPr>
        <w:tabs>
          <w:tab w:val="num" w:pos="3390"/>
        </w:tabs>
        <w:ind w:start="3390" w:hanging="374"/>
      </w:pPr>
      <w:rPr>
        <w:rFonts w:ascii="Symbol" w:hAnsi="Symbol" w:cs="Symbol" w:hint="default"/>
      </w:rPr>
    </w:lvl>
    <w:lvl w:ilvl="6">
      <w:start w:val="7"/>
      <w:numFmt w:val="bullet"/>
      <w:lvlText w:val=""/>
      <w:lvlJc w:val="start"/>
      <w:pPr>
        <w:tabs>
          <w:tab w:val="num" w:pos="3764"/>
        </w:tabs>
        <w:ind w:start="3764" w:hanging="374"/>
      </w:pPr>
      <w:rPr>
        <w:rFonts w:ascii="Symbol" w:hAnsi="Symbol" w:cs="Symbol" w:hint="default"/>
      </w:rPr>
    </w:lvl>
    <w:lvl w:ilvl="7">
      <w:start w:val="8"/>
      <w:numFmt w:val="bullet"/>
      <w:lvlText w:val=""/>
      <w:lvlJc w:val="start"/>
      <w:pPr>
        <w:tabs>
          <w:tab w:val="num" w:pos="4138"/>
        </w:tabs>
        <w:ind w:start="4138" w:hanging="374"/>
      </w:pPr>
      <w:rPr>
        <w:rFonts w:ascii="Symbol" w:hAnsi="Symbol" w:cs="Symbol" w:hint="default"/>
      </w:rPr>
    </w:lvl>
    <w:lvl w:ilvl="8">
      <w:start w:val="9"/>
      <w:numFmt w:val="bullet"/>
      <w:lvlText w:val=""/>
      <w:lvlJc w:val="start"/>
      <w:pPr>
        <w:tabs>
          <w:tab w:val="num" w:pos="4512"/>
        </w:tabs>
        <w:ind w:start="4512" w:hanging="374"/>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GB"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GB" w:eastAsia="zh-CN" w:bidi="hi-IN"/>
    </w:rPr>
  </w:style>
  <w:style w:type="paragraph" w:styleId="Heading1">
    <w:name w:val="heading 1"/>
    <w:basedOn w:val="Heading"/>
    <w:next w:val="BodyText"/>
    <w:qFormat/>
    <w:pPr>
      <w:numPr>
        <w:ilvl w:val="0"/>
        <w:numId w:val="1"/>
      </w:numPr>
      <w:spacing w:lineRule="auto" w:line="360" w:before="0" w:after="850"/>
      <w:jc w:val="both"/>
      <w:outlineLvl w:val="0"/>
    </w:pPr>
    <w:rPr>
      <w:rFonts w:ascii="Times New Roman" w:hAnsi="Times New Roman"/>
      <w:b w:val="false"/>
      <w:bCs/>
      <w:caps/>
      <w:sz w:val="28"/>
      <w:szCs w:val="36"/>
    </w:rPr>
  </w:style>
  <w:style w:type="paragraph" w:styleId="Heading2">
    <w:name w:val="heading 2"/>
    <w:basedOn w:val="Heading"/>
    <w:next w:val="BodyText"/>
    <w:qFormat/>
    <w:pPr>
      <w:numPr>
        <w:ilvl w:val="1"/>
        <w:numId w:val="1"/>
      </w:numPr>
      <w:spacing w:lineRule="auto" w:line="360" w:before="850" w:after="850"/>
      <w:jc w:val="both"/>
      <w:outlineLvl w:val="1"/>
    </w:pPr>
    <w:rPr>
      <w:rFonts w:ascii="Times New Roman" w:hAnsi="Times New Roman"/>
      <w:b w:val="false"/>
      <w:bCs/>
      <w:sz w:val="28"/>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IndexLink">
    <w:name w:val="Index Link"/>
    <w:qFormat/>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next w:val="BodyTextFirstIndent"/>
    <w:pPr>
      <w:spacing w:lineRule="auto" w:line="360" w:before="0" w:after="0"/>
      <w:contextualSpacing/>
      <w:jc w:val="both"/>
    </w:pPr>
    <w:rPr>
      <w:rFonts w:ascii="Times New Roman" w:hAnsi="Times New Roma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BlockQuotationuser">
    <w:name w:val="Block Quotation (user)"/>
    <w:basedOn w:val="Normal"/>
    <w:qFormat/>
    <w:pPr>
      <w:spacing w:before="0" w:after="283"/>
      <w:ind w:hanging="0" w:start="567" w:end="567"/>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spacing w:lineRule="auto" w:line="360" w:before="0" w:after="850"/>
      <w:ind w:hanging="0" w:start="0"/>
      <w:jc w:val="center"/>
    </w:pPr>
    <w:rPr>
      <w:rFonts w:ascii="Times New Roman" w:hAnsi="Times New Roman"/>
      <w:b w:val="false"/>
      <w:bCs/>
      <w:caps/>
      <w:sz w:val="28"/>
      <w:szCs w:val="32"/>
    </w:rPr>
  </w:style>
  <w:style w:type="paragraph" w:styleId="TOC1">
    <w:name w:val="toc 1"/>
    <w:basedOn w:val="Index"/>
    <w:pPr>
      <w:tabs>
        <w:tab w:val="clear" w:pos="709"/>
        <w:tab w:val="right" w:pos="9071" w:leader="dot"/>
      </w:tabs>
      <w:spacing w:lineRule="auto" w:line="360"/>
      <w:ind w:hanging="0" w:start="0"/>
    </w:pPr>
    <w:rPr>
      <w:rFonts w:ascii="Times New Roman" w:hAnsi="Times New Roman"/>
      <w:caps/>
    </w:rPr>
  </w:style>
  <w:style w:type="paragraph" w:styleId="TOC2">
    <w:name w:val="toc 2"/>
    <w:basedOn w:val="Index"/>
    <w:pPr>
      <w:tabs>
        <w:tab w:val="clear" w:pos="709"/>
        <w:tab w:val="right" w:pos="9071" w:leader="dot"/>
      </w:tabs>
      <w:spacing w:lineRule="auto" w:line="360"/>
      <w:ind w:hanging="0" w:start="283"/>
    </w:pPr>
    <w:rPr>
      <w:rFonts w:ascii="Times New Roman" w:hAnsi="Times New Roman"/>
    </w:rPr>
  </w:style>
  <w:style w:type="paragraph" w:styleId="TOC3">
    <w:name w:val="toc 3"/>
    <w:basedOn w:val="Index"/>
    <w:pPr>
      <w:tabs>
        <w:tab w:val="clear" w:pos="709"/>
        <w:tab w:val="right" w:pos="9071" w:leader="dot"/>
      </w:tabs>
      <w:ind w:hanging="0" w:start="567"/>
    </w:pPr>
    <w:rPr/>
  </w:style>
  <w:style w:type="paragraph" w:styleId="BodyTextIndent">
    <w:name w:val="Body Text Indent"/>
    <w:basedOn w:val="BodyText"/>
    <w:pPr>
      <w:ind w:hanging="0" w:start="709"/>
    </w:pPr>
    <w:rPr/>
  </w:style>
  <w:style w:type="paragraph" w:styleId="HeaderandFooter">
    <w:name w:val="Header and Footer"/>
    <w:basedOn w:val="Normal"/>
    <w:qFormat/>
    <w:pPr>
      <w:suppressLineNumbers/>
      <w:tabs>
        <w:tab w:val="clear" w:pos="709"/>
        <w:tab w:val="center" w:pos="4535" w:leader="none"/>
        <w:tab w:val="right" w:pos="9071" w:leader="none"/>
      </w:tabs>
    </w:pPr>
    <w:rPr/>
  </w:style>
  <w:style w:type="paragraph" w:styleId="Header">
    <w:name w:val="header"/>
    <w:basedOn w:val="HeaderandFooter"/>
    <w:pPr>
      <w:suppressLineNumbers/>
      <w:spacing w:lineRule="auto" w:line="360"/>
    </w:pPr>
    <w:rPr>
      <w:rFonts w:ascii="Times New Roman" w:hAnsi="Times New Roman"/>
    </w:rPr>
  </w:style>
  <w:style w:type="paragraph" w:styleId="BodyTextFirstIndent">
    <w:name w:val="Body Text First Indent"/>
    <w:basedOn w:val="BodyText"/>
    <w:pPr>
      <w:ind w:firstLine="709" w:start="0"/>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1815</TotalTime>
  <Application>LibreOffice/25.2.2.2$Linux_X86_64 LibreOffice_project/520$Build-2</Application>
  <AppVersion>15.0000</AppVersion>
  <Pages>17</Pages>
  <Words>4447</Words>
  <Characters>24935</Characters>
  <CharactersWithSpaces>29325</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Maycon Oliveira</cp:lastModifiedBy>
  <dcterms:modified xsi:type="dcterms:W3CDTF">2025-05-01T16:13:06Z</dcterms:modified>
  <cp:revision>97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2tSYO4wb4DKH_1">
    <vt:lpwstr>ZOTERO_ITEM CSL_CITATION {"citationID":"bXgfmttr","properties":{"formattedCitation":"(8)","plainCitation":"(8)","noteIndex":0},"citationItems":[{"id":2969,"uris":["http://zotero.org/users/8513884/items/MQC9PFUU"],"itemData":{"id":2969,"type":"article-jour</vt:lpwstr>
  </property>
  <property fmtid="{D5CDD505-2E9C-101B-9397-08002B2CF9AE}" pid="3" name="ZOTERO_BREF_2tSYO4wb4DKH_10">
    <vt:lpwstr>highly-multiplexed and pooled with other Illumina libraries.","container-title":"PeerJ","DOI":"10.7717/peerj.7724","ISSN":"2167-8359","journalAbbreviation":"PeerJ","language":"en","note":"publisher: PeerJ Inc.","page":"e7724","source":"peerj.com","title":</vt:lpwstr>
  </property>
  <property fmtid="{D5CDD505-2E9C-101B-9397-08002B2CF9AE}" pid="4" name="ZOTERO_BREF_2tSYO4wb4DKH_11">
    <vt:lpwstr>"Adapterama III: Quadruple-indexed, double/triple-enzyme RADseq libraries (2RAD/3RAD)","title-short":"Adapterama III","volume":"7","author":[{"family":"Bayona-Vásquez","given":"Natalia J."},{"family":"Glenn","given":"Travis C."},{"family":"Kieran","given"</vt:lpwstr>
  </property>
  <property fmtid="{D5CDD505-2E9C-101B-9397-08002B2CF9AE}" pid="5" name="ZOTERO_BREF_2tSYO4wb4DKH_12">
    <vt:lpwstr>:"Troy J."},{"family":"Pierson","given":"Todd W."},{"family":"Hoffberg","given":"Sandra L."},{"family":"Scott","given":"Peter A."},{"family":"Bentley","given":"Kerin E."},{"family":"Finger","given":"John W."},{"family":"Louha","given":"Swarnali"},{"family</vt:lpwstr>
  </property>
  <property fmtid="{D5CDD505-2E9C-101B-9397-08002B2CF9AE}" pid="6" name="ZOTERO_BREF_2tSYO4wb4DKH_13">
    <vt:lpwstr>":"Troendle","given":"Nicholas"},{"family":"Diaz-Jaimes","given":"Pindaro"},{"family":"Mauricio","given":"Rodney"},{"family":"Faircloth","given":"Brant C."}],"issued":{"date-parts":[["2019",10,11]]},"citation-key":"bayona-vasquezAdapteramaIIIQuadrupleinde</vt:lpwstr>
  </property>
  <property fmtid="{D5CDD505-2E9C-101B-9397-08002B2CF9AE}" pid="7" name="ZOTERO_BREF_2tSYO4wb4DKH_14">
    <vt:lpwstr>xed2019"}}],"schema":"https://github.com/citation-style-language/schema/raw/master/csl-citation.json"}</vt:lpwstr>
  </property>
  <property fmtid="{D5CDD505-2E9C-101B-9397-08002B2CF9AE}" pid="8" name="ZOTERO_BREF_2tSYO4wb4DKH_2">
    <vt:lpwstr>nal","abstract":"Molecular ecologists frequently use genome reduction strategies that rely upon restriction enzyme digestion of genomic DNA to sample consistent portions of the genome from many individuals (e.g., RADseq, GBS). However, researchers often f</vt:lpwstr>
  </property>
  <property fmtid="{D5CDD505-2E9C-101B-9397-08002B2CF9AE}" pid="9" name="ZOTERO_BREF_2tSYO4wb4DKH_3">
    <vt:lpwstr>ind the existing methods expensive to initiate and/or difficult to implement consistently, especially because it is difficult to multiplex sufficient numbers of samples to fill entire sequencing lanes. Here, we introduce a low-cost and highly robust appro</vt:lpwstr>
  </property>
  <property fmtid="{D5CDD505-2E9C-101B-9397-08002B2CF9AE}" pid="10" name="ZOTERO_BREF_2tSYO4wb4DKH_4">
    <vt:lpwstr>ach for the construction of dual-digest RADseq libraries that build on adapters and primers designed in Adapterama I. Major features of our method include: (1) minimizing the number of processing steps; (2) focusing on a single strand of sample DNA for li</vt:lpwstr>
  </property>
  <property fmtid="{D5CDD505-2E9C-101B-9397-08002B2CF9AE}" pid="11" name="ZOTERO_BREF_2tSYO4wb4DKH_5">
    <vt:lpwstr>brary construction, allowing the use of a non-phosphorylated adapter on one end; (3) ligating adapters in the presence of active restriction enzymes, thereby reducing chimeras; (4) including an optional third restriction enzyme to cut apart adapter-dimers</vt:lpwstr>
  </property>
  <property fmtid="{D5CDD505-2E9C-101B-9397-08002B2CF9AE}" pid="12" name="ZOTERO_BREF_2tSYO4wb4DKH_6">
    <vt:lpwstr> formed by the phosphorylated adapter, thus increasing the efficiency of adapter ligation to sample DNA, which is particularly effective when only low quantity/quality DNA samples are available; (5) interchangeable adapter designs; (6) incorporating varia</vt:lpwstr>
  </property>
  <property fmtid="{D5CDD505-2E9C-101B-9397-08002B2CF9AE}" pid="13" name="ZOTERO_BREF_2tSYO4wb4DKH_7">
    <vt:lpwstr>ble-length internal indexes within the adapters to increase the scope of sample indexing, facilitate pooling, and increase sequence diversity; (7) maintaining compatibility with universal dual-indexed primers and thus, Illumina sequencing reagents and lib</vt:lpwstr>
  </property>
  <property fmtid="{D5CDD505-2E9C-101B-9397-08002B2CF9AE}" pid="14" name="ZOTERO_BREF_2tSYO4wb4DKH_8">
    <vt:lpwstr>raries; and, (8) easy modification for the identification of PCR duplicates. We present eight adapter designs that work with 72 restriction enzyme combinations. We demonstrate the efficiency of our approach by comparing it with existing methods, and we va</vt:lpwstr>
  </property>
  <property fmtid="{D5CDD505-2E9C-101B-9397-08002B2CF9AE}" pid="15" name="ZOTERO_BREF_2tSYO4wb4DKH_9">
    <vt:lpwstr>lidate its utility through the discovery of many variable loci in a variety of non-model organisms. Our 2RAD/3RAD method is easy to perform, has low startup costs, has increased utility with low-concentration input DNA, and produces libraries that can be </vt:lpwstr>
  </property>
  <property fmtid="{D5CDD505-2E9C-101B-9397-08002B2CF9AE}" pid="16" name="ZOTERO_BREF_3xXl8uRM6jcR_1">
    <vt:lpwstr>ZOTERO_ITEM CSL_CITATION {"citationID":"gJuSevL5","properties":{"formattedCitation":"(18)","plainCitation":"(18)","noteIndex":0},"citationItems":[{"id":3427,"uris":["http://zotero.org/users/8513884/items/XGMEYFIK"],"itemData":{"id":3427,"type":"article-jo</vt:lpwstr>
  </property>
  <property fmtid="{D5CDD505-2E9C-101B-9397-08002B2CF9AE}" pid="17" name="ZOTERO_BREF_3xXl8uRM6jcR_10">
    <vt:lpwstr>E."},{"family":"Lindtke","given":"Dorothea"},{"family":"Mandeville","given":"Elizabeth G."},{"family":"Parchman","given":"Thomas L."},{"family":"Gompert","given":"Zachariah"},{"family":"Buerkle","given":"C. Alex"}],"issued":{"date-parts":[["2021"]]},"cita</vt:lpwstr>
  </property>
  <property fmtid="{D5CDD505-2E9C-101B-9397-08002B2CF9AE}" pid="18" name="ZOTERO_BREF_3xXl8uRM6jcR_11">
    <vt:lpwstr>tion-key":"shastryModelbasedGenotypeAncestry2021"}}],"schema":"https://github.com/citation-style-language/schema/raw/master/csl-citation.json"}</vt:lpwstr>
  </property>
  <property fmtid="{D5CDD505-2E9C-101B-9397-08002B2CF9AE}" pid="19" name="ZOTERO_BREF_3xXl8uRM6jcR_2">
    <vt:lpwstr>urnal","abstract":"Non-random mating among individuals can lead to spatial clustering of genetically similar individuals and population stratification. This deviation from panmixia is commonly observed in natural populations. Consequently, individuals can</vt:lpwstr>
  </property>
  <property fmtid="{D5CDD505-2E9C-101B-9397-08002B2CF9AE}" pid="20" name="ZOTERO_BREF_3xXl8uRM6jcR_3">
    <vt:lpwstr> have parentage in single populations or involving hybridization between differentiated populations. Accounting for this mixture and structure is important when mapping the genetics of traits and learning about the formative evolutionary processes that sh</vt:lpwstr>
  </property>
  <property fmtid="{D5CDD505-2E9C-101B-9397-08002B2CF9AE}" pid="21" name="ZOTERO_BREF_3xXl8uRM6jcR_4">
    <vt:lpwstr>ape genetic variation among individuals and populations. Stratified genetic relatedness among individuals is commonly quantified using estimates of ancestry that are derived from a statistical model. Development of these models for polyploid and mixed-plo</vt:lpwstr>
  </property>
  <property fmtid="{D5CDD505-2E9C-101B-9397-08002B2CF9AE}" pid="22" name="ZOTERO_BREF_3xXl8uRM6jcR_5">
    <vt:lpwstr>idy individuals and populations has lagged behind those for diploids. Here, we extend and test a hierarchical Bayesian model, called entropy, which can use low-depth sequence data to estimate genotype and ancestry parameters in autopolyploid and mixed-plo</vt:lpwstr>
  </property>
  <property fmtid="{D5CDD505-2E9C-101B-9397-08002B2CF9AE}" pid="23" name="ZOTERO_BREF_3xXl8uRM6jcR_6">
    <vt:lpwstr>idy individuals (including sex chromosomes and autosomes within individuals). Our analysis of simulated data illustrated the trade-off between sequencing depth and genome coverage and found lower error associated with low-depth sequencing across a larger </vt:lpwstr>
  </property>
  <property fmtid="{D5CDD505-2E9C-101B-9397-08002B2CF9AE}" pid="24" name="ZOTERO_BREF_3xXl8uRM6jcR_7">
    <vt:lpwstr>fraction of the genome than with high-depth sequencing across a smaller fraction of the genome. The model has high accuracy and sensitivity as verified with simulated data and through analysis of admixture among populations of diploid and tetraploid Arabi</vt:lpwstr>
  </property>
  <property fmtid="{D5CDD505-2E9C-101B-9397-08002B2CF9AE}" pid="25" name="ZOTERO_BREF_3xXl8uRM6jcR_8">
    <vt:lpwstr>dopsis arenosa.","container-title":"Molecular Ecology Resources","DOI":"10.1111/1755-0998.13330","ISSN":"1755-0998","issue":"5","language":"en","license":"© 2021 John Wiley &amp; Sons Ltd","note":"_eprint: https://onlinelibrary.wiley.com/doi/pdf/10.1111/1755-</vt:lpwstr>
  </property>
  <property fmtid="{D5CDD505-2E9C-101B-9397-08002B2CF9AE}" pid="26" name="ZOTERO_BREF_3xXl8uRM6jcR_9">
    <vt:lpwstr>0998.13330","page":"1434-1451","source":"Wiley Online Library","title":"Model-based genotype and ancestry estimation for potential hybrids with mixed-ploidy","volume":"21","author":[{"family":"Shastry","given":"Vivaswat"},{"family":"Adams","given":"Paula </vt:lpwstr>
  </property>
  <property fmtid="{D5CDD505-2E9C-101B-9397-08002B2CF9AE}" pid="27" name="ZOTERO_BREF_AbKyWLARywGW_1">
    <vt:lpwstr>ZOTERO_ITEM CSL_CITATION {"citationID":"5kq0htij","properties":{"formattedCitation":"(10)","plainCitation":"(10)","noteIndex":0},"citationItems":[{"id":2978,"uris":["http://zotero.org/users/8513884/items/VRTEWNTQ"],"itemData":{"id":2978,"type":"article-jo</vt:lpwstr>
  </property>
  <property fmtid="{D5CDD505-2E9C-101B-9397-08002B2CF9AE}" pid="28" name="ZOTERO_BREF_AbKyWLARywGW_2">
    <vt:lpwstr>urnal","abstract":"Abstract\n            \n              Background\n              SAMtools and BCFtools are widely used programs for processing and analysing high-throughput sequencing data. They include tools for file format conversion and manipulation,</vt:lpwstr>
  </property>
  <property fmtid="{D5CDD505-2E9C-101B-9397-08002B2CF9AE}" pid="29" name="ZOTERO_BREF_AbKyWLARywGW_3">
    <vt:lpwstr> sorting, querying, statistics, variant calling, and effect analysis amongst other methods.\n            \n            \n              Findings\n              The first version appeared online 12 years ago and has been maintained and further developed eve</vt:lpwstr>
  </property>
  <property fmtid="{D5CDD505-2E9C-101B-9397-08002B2CF9AE}" pid="30" name="ZOTERO_BREF_AbKyWLARywGW_4">
    <vt:lpwstr>r since, with many new features and improvements added over the years. The SAMtools and BCFtools packages represent a unique collection of tools that have been used in numerous other software projects and countless genomic pipelines.\n            \n      </vt:lpwstr>
  </property>
  <property fmtid="{D5CDD505-2E9C-101B-9397-08002B2CF9AE}" pid="31" name="ZOTERO_BREF_AbKyWLARywGW_5">
    <vt:lpwstr>      \n              Conclusion\n              Both SAMtools and BCFtools are freely available on GitHub under the permissive MIT licence, free for both non-commercial and commercial use. Both packages have been installed &amp;gt;1 million times via Bioconda</vt:lpwstr>
  </property>
  <property fmtid="{D5CDD505-2E9C-101B-9397-08002B2CF9AE}" pid="32" name="ZOTERO_BREF_AbKyWLARywGW_6">
    <vt:lpwstr>. The source code and documentation are available from https://www.htslib.org.","container-title":"GigaScience","DOI":"10.1093/gigascience/giab008","ISSN":"2047-217X","issue":"2","language":"en","license":"http://creativecommons.org/licenses/by/4.0/","pag</vt:lpwstr>
  </property>
  <property fmtid="{D5CDD505-2E9C-101B-9397-08002B2CF9AE}" pid="33" name="ZOTERO_BREF_AbKyWLARywGW_7">
    <vt:lpwstr>e":"giab008","source":"DOI.org (Crossref)","title":"Twelve years of SAMtools and BCFtools","volume":"10","author":[{"family":"Danecek","given":"Petr"},{"family":"Bonfield","given":"James K"},{"family":"Liddle","given":"Jennifer"},{"family":"Marshall","giv</vt:lpwstr>
  </property>
  <property fmtid="{D5CDD505-2E9C-101B-9397-08002B2CF9AE}" pid="34" name="ZOTERO_BREF_AbKyWLARywGW_8">
    <vt:lpwstr>en":"John"},{"family":"Ohan","given":"Valeriu"},{"family":"Pollard","given":"Martin O"},{"family":"Whitwham","given":"Andrew"},{"family":"Keane","given":"Thomas"},{"family":"McCarthy","given":"Shane A"},{"family":"Davies","given":"Robert M"},{"family":"Li</vt:lpwstr>
  </property>
  <property fmtid="{D5CDD505-2E9C-101B-9397-08002B2CF9AE}" pid="35" name="ZOTERO_BREF_AbKyWLARywGW_9">
    <vt:lpwstr>","given":"Heng"}],"issued":{"date-parts":[["2021",1,29]]},"citation-key":"danecekTwelveYearsSAMtools2021"}}],"schema":"https://github.com/citation-style-language/schema/raw/master/csl-citation.json"}</vt:lpwstr>
  </property>
  <property fmtid="{D5CDD505-2E9C-101B-9397-08002B2CF9AE}" pid="36" name="ZOTERO_BREF_Ay6hvM6bVh9s_1">
    <vt:lpwstr>ZOTERO_ITEM CSL_CITATION {"citationID":"mmB50UJE","properties":{"formattedCitation":"(2, 3)","plainCitation":"(2, 3)","noteIndex":0},"citationItems":[{"id":69,"uris":["http://zotero.org/users/8513884/items/9F9W57ED"],"itemData":{"id":69,"type":"article-jo</vt:lpwstr>
  </property>
  <property fmtid="{D5CDD505-2E9C-101B-9397-08002B2CF9AE}" pid="37" name="ZOTERO_BREF_Ay6hvM6bVh9s_10">
    <vt:lpwstr>uza"},{"family":"Ferreira","given":"Lucas Cabral Lage"},{"family":"Driller","given":"Maximilian"},{"family":"Repinaldo Filho","given":"Fernando Pedro Marinho"},{"family":"Mazzoni","given":"Camila Junqueira"},{"family":"Santos","given":"Fabrício Rodrigues"</vt:lpwstr>
  </property>
  <property fmtid="{D5CDD505-2E9C-101B-9397-08002B2CF9AE}" pid="38" name="ZOTERO_BREF_Ay6hvM6bVh9s_11">
    <vt:lpwstr>}],"issued":{"date-parts":[["2020",7,30]]},"citation-key":"arantesGenomicEvidenceRecent2020"}},{"id":9,"uris":["http://zotero.org/users/8513884/items/EVEA6U8W"],"itemData":{"id":9,"type":"article-journal","abstract":"Abstract\n            \n              </vt:lpwstr>
  </property>
  <property fmtid="{D5CDD505-2E9C-101B-9397-08002B2CF9AE}" pid="39" name="ZOTERO_BREF_Ay6hvM6bVh9s_12">
    <vt:lpwstr>Hybridization is known to be part of many species' evolutionary history. Sea turtles have a fascinating hybridization system in which species separated by as much as 43 million years are still capable of hybridizing. Indeed, the largest nesting population</vt:lpwstr>
  </property>
  <property fmtid="{D5CDD505-2E9C-101B-9397-08002B2CF9AE}" pid="40" name="ZOTERO_BREF_Ay6hvM6bVh9s_13">
    <vt:lpwstr>s in Brazil of loggerheads (\n              Caretta caretta\n              ) and hawksbills (\n              Eretmochelys imbricata\n              ) have a high incidence of hybrids between these two species. A third species, olive ridleys (\n            </vt:lpwstr>
  </property>
  <property fmtid="{D5CDD505-2E9C-101B-9397-08002B2CF9AE}" pid="41" name="ZOTERO_BREF_Ay6hvM6bVh9s_14">
    <vt:lpwstr>  Lepidochelys olivacea\n              ), is also known to hybridize although at a smaller scale. Here, we used restriction site‐associated DNA sequencing (RAD‐Seq) markers, mitogenomes, and satellite‐telemetry to investigate the patterns of hybridization</vt:lpwstr>
  </property>
  <property fmtid="{D5CDD505-2E9C-101B-9397-08002B2CF9AE}" pid="42" name="ZOTERO_BREF_Ay6hvM6bVh9s_15">
    <vt:lpwstr> and introgression in the Brazilian sea turtle population and their relationship with the migratory behaviours between feeding and nesting aggregations. We also explicitly test if the mixing of two divergent genomes in sea turtle hybrids causes mitochondr</vt:lpwstr>
  </property>
  <property fmtid="{D5CDD505-2E9C-101B-9397-08002B2CF9AE}" pid="43" name="ZOTERO_BREF_Ay6hvM6bVh9s_16">
    <vt:lpwstr>ial paternal leakage. We developed a new species‐specific PCR‐assay capable of detecting mitochondrial DNA (mtDNA) inheritance from both parental species and performed ultra‐deep sequencing to estimate the abundance of each mtDNA type. Our results show th</vt:lpwstr>
  </property>
  <property fmtid="{D5CDD505-2E9C-101B-9397-08002B2CF9AE}" pid="44" name="ZOTERO_BREF_Ay6hvM6bVh9s_17">
    <vt:lpwstr>at all adult hybrids are first generation (F1) and most display a loggerhead migratory behaviour. We detected paternal leakage in F1 hybrids and different proportions of mitochondria from maternal and paternal species. Although previous studies showed no </vt:lpwstr>
  </property>
  <property fmtid="{D5CDD505-2E9C-101B-9397-08002B2CF9AE}" pid="45" name="ZOTERO_BREF_Ay6hvM6bVh9s_18">
    <vt:lpwstr>significant fitness decrease in hatchlings, our results support genetically‐related hybrid breakdown possibly caused by cytonuclear incompatibility. Further research on hybrids from other populations in addition to Brazil and between different species wil</vt:lpwstr>
  </property>
  <property fmtid="{D5CDD505-2E9C-101B-9397-08002B2CF9AE}" pid="46" name="ZOTERO_BREF_Ay6hvM6bVh9s_19">
    <vt:lpwstr>l show if backcross inviability and mitochondrial paternal leakage is observed across sea turtle species.","container-title":"Molecular Ecology","DOI":"10.1111/mec.16773","ISSN":"0962-1083, 1365-294X","issue":"3","journalAbbreviation":"Molecular Ecology",</vt:lpwstr>
  </property>
  <property fmtid="{D5CDD505-2E9C-101B-9397-08002B2CF9AE}" pid="47" name="ZOTERO_BREF_Ay6hvM6bVh9s_2">
    <vt:lpwstr>urnal","abstract":"Hybridization between sea turtle species occurs with particularly high frequency at two adjacent nesting areas in northeastern Brazil. To understand the outcomes of hybridization and their consequences for sea turtle conservation, we ne</vt:lpwstr>
  </property>
  <property fmtid="{D5CDD505-2E9C-101B-9397-08002B2CF9AE}" pid="48" name="ZOTERO_BREF_Ay6hvM6bVh9s_20">
    <vt:lpwstr>"language":"en","page":"628-643","source":"DOI.org (Crossref)","title":"Evidence of backcross inviability and mitochondrial &lt;span style=\"font-variant:small-caps;\"&gt;DNA&lt;/span&gt; paternal leakage in sea turtle hybrids","title-short":"Evidence of backcross in</vt:lpwstr>
  </property>
  <property fmtid="{D5CDD505-2E9C-101B-9397-08002B2CF9AE}" pid="49" name="ZOTERO_BREF_Ay6hvM6bVh9s_21">
    <vt:lpwstr>viability and mitochondrial &lt;span style=\"font-variant","volume":"32","author":[{"family":"Vilaça","given":"Sibelle T."},{"family":"Maroso","given":"Francesco"},{"family":"Lara","given":"Paulo"},{"family":"De Thoisy","given":"Benoit"},{"family":"Chevallie</vt:lpwstr>
  </property>
  <property fmtid="{D5CDD505-2E9C-101B-9397-08002B2CF9AE}" pid="50" name="ZOTERO_BREF_Ay6hvM6bVh9s_22">
    <vt:lpwstr>r","given":"Damien"},{"family":"Arantes","given":"Larissa Souza"},{"family":"Santos","given":"Fabricio R."},{"family":"Bertorelle","given":"Giorgio"},{"family":"Mazzoni","given":"Camila J."}],"issued":{"date-parts":[["2023",2]]},"citation-key":"vilacaEvid</vt:lpwstr>
  </property>
  <property fmtid="{D5CDD505-2E9C-101B-9397-08002B2CF9AE}" pid="51" name="ZOTERO_BREF_Ay6hvM6bVh9s_23">
    <vt:lpwstr>enceBackcrossInviability2023"}}],"schema":"https://github.com/citation-style-language/schema/raw/master/csl-citation.json"}</vt:lpwstr>
  </property>
  <property fmtid="{D5CDD505-2E9C-101B-9397-08002B2CF9AE}" pid="52" name="ZOTERO_BREF_Ay6hvM6bVh9s_3">
    <vt:lpwstr>ed to evaluate the extent of hybridization occurrence and possible deleterious effects in the hybrid progeny. Thus, we investigated the hypothesis of the existence of a new hybrid spot offshore of Brazil’s northeastern coast. The Abrolhos Archipelago is s</vt:lpwstr>
  </property>
  <property fmtid="{D5CDD505-2E9C-101B-9397-08002B2CF9AE}" pid="53" name="ZOTERO_BREF_Ay6hvM6bVh9s_4">
    <vt:lpwstr>urrounded by the largest and richest coral reefs in the South Atlantic and is known to be a nesting site for loggerhead turtles (Caretta caretta). In this study, we performed a multidisciplinary investigation into levels of hybridization in sea turtles an</vt:lpwstr>
  </property>
  <property fmtid="{D5CDD505-2E9C-101B-9397-08002B2CF9AE}" pid="54" name="ZOTERO_BREF_Ay6hvM6bVh9s_5">
    <vt:lpwstr>d their reproductive output in the Abrolhos beaches. Genetic data from mitochondrial DNA (mtDNA) and six autosomal markers showed that there are first-generation hybrid females nesting in Abrolhos, resulting from crossings between hawksbill males (Eretmoc</vt:lpwstr>
  </property>
  <property fmtid="{D5CDD505-2E9C-101B-9397-08002B2CF9AE}" pid="55" name="ZOTERO_BREF_Ay6hvM6bVh9s_6">
    <vt:lpwstr>helys imbricata) and loggerhead females, and backcrossed hatchlings from both parental species. The type and extent of hybridization were characterized using genomic data obtained with the 3RAD method, which confirmed backcrossing between F1 hybrids and l</vt:lpwstr>
  </property>
  <property fmtid="{D5CDD505-2E9C-101B-9397-08002B2CF9AE}" pid="56" name="ZOTERO_BREF_Ay6hvM6bVh9s_7">
    <vt:lpwstr>oggerhead turtles. The reproductive output data of Abrolhos nests suggests a disadvantage of hybrids when compared to loggerheads. For the first time, we have shown the association between hybridization and low reproductive success, which may represent a </vt:lpwstr>
  </property>
  <property fmtid="{D5CDD505-2E9C-101B-9397-08002B2CF9AE}" pid="57" name="ZOTERO_BREF_Ay6hvM6bVh9s_8">
    <vt:lpwstr>threat to sea turtle conservation.","container-title":"Scientific Reports","DOI":"10.1038/s41598-020-69613-8","ISSN":"2045-2322","issue":"1","journalAbbreviation":"Sci Rep","language":"en","license":"2020 The Author(s)","note":"publisher: Nature Publishin</vt:lpwstr>
  </property>
  <property fmtid="{D5CDD505-2E9C-101B-9397-08002B2CF9AE}" pid="58" name="ZOTERO_BREF_Ay6hvM6bVh9s_9">
    <vt:lpwstr>g Group","page":"12847","source":"www.nature.com","title":"Genomic evidence of recent hybridization between sea turtles at Abrolhos Archipelago and its association to low reproductive output","volume":"10","author":[{"family":"Arantes","given":"Larissa So</vt:lpwstr>
  </property>
  <property fmtid="{D5CDD505-2E9C-101B-9397-08002B2CF9AE}" pid="59" name="ZOTERO_BREF_EdTEz2yOHUTH_1">
    <vt:lpwstr>ZOTERO_ITEM CSL_CITATION {"citationID":"j79cKar4","properties":{"formattedCitation":"(3)","plainCitation":"(3)","noteIndex":0},"citationItems":[{"id":9,"uris":["http://zotero.org/users/8513884/items/EVEA6U8W"],"itemData":{"id":9,"type":"article-journal","</vt:lpwstr>
  </property>
  <property fmtid="{D5CDD505-2E9C-101B-9397-08002B2CF9AE}" pid="60" name="ZOTERO_BREF_EdTEz2yOHUTH_10">
    <vt:lpwstr>e":"3","journalAbbreviation":"Molecular Ecology","language":"en","page":"628-643","source":"DOI.org (Crossref)","title":"Evidence of backcross inviability and mitochondrial &lt;span style=\"font-variant:small-caps;\"&gt;DNA&lt;/span&gt; paternal leakage in sea turtle</vt:lpwstr>
  </property>
  <property fmtid="{D5CDD505-2E9C-101B-9397-08002B2CF9AE}" pid="61" name="ZOTERO_BREF_EdTEz2yOHUTH_11">
    <vt:lpwstr> hybrids","title-short":"Evidence of backcross inviability and mitochondrial &lt;span style=\"font-variant","volume":"32","author":[{"family":"Vilaça","given":"Sibelle T."},{"family":"Maroso","given":"Francesco"},{"family":"Lara","given":"Paulo"},{"family":"</vt:lpwstr>
  </property>
  <property fmtid="{D5CDD505-2E9C-101B-9397-08002B2CF9AE}" pid="62" name="ZOTERO_BREF_EdTEz2yOHUTH_12">
    <vt:lpwstr>De Thoisy","given":"Benoit"},{"family":"Chevallier","given":"Damien"},{"family":"Arantes","given":"Larissa Souza"},{"family":"Santos","given":"Fabricio R."},{"family":"Bertorelle","given":"Giorgio"},{"family":"Mazzoni","given":"Camila J."}],"issued":{"dat</vt:lpwstr>
  </property>
  <property fmtid="{D5CDD505-2E9C-101B-9397-08002B2CF9AE}" pid="63" name="ZOTERO_BREF_EdTEz2yOHUTH_13">
    <vt:lpwstr>e-parts":[["2023",2]]},"citation-key":"vilacaEvidenceBackcrossInviability2023"}}],"schema":"https://github.com/citation-style-language/schema/raw/master/csl-citation.json"}</vt:lpwstr>
  </property>
  <property fmtid="{D5CDD505-2E9C-101B-9397-08002B2CF9AE}" pid="64" name="ZOTERO_BREF_EdTEz2yOHUTH_2">
    <vt:lpwstr>abstract":"Abstract\n            \n              Hybridization is known to be part of many species' evolutionary history. Sea turtles have a fascinating hybridization system in which species separated by as much as 43 million years are still capable of hy</vt:lpwstr>
  </property>
  <property fmtid="{D5CDD505-2E9C-101B-9397-08002B2CF9AE}" pid="65" name="ZOTERO_BREF_EdTEz2yOHUTH_3">
    <vt:lpwstr>bridizing. Indeed, the largest nesting populations in Brazil of loggerheads (\n              Caretta caretta\n              ) and hawksbills (\n              Eretmochelys imbricata\n              ) have a high incidence of hybrids between these two specie</vt:lpwstr>
  </property>
  <property fmtid="{D5CDD505-2E9C-101B-9397-08002B2CF9AE}" pid="66" name="ZOTERO_BREF_EdTEz2yOHUTH_4">
    <vt:lpwstr>s. A third species, olive ridleys (\n              Lepidochelys olivacea\n              ), is also known to hybridize although at a smaller scale. Here, we used restriction site‐associated DNA sequencing (RAD‐Seq) markers, mitogenomes, and satellite‐telem</vt:lpwstr>
  </property>
  <property fmtid="{D5CDD505-2E9C-101B-9397-08002B2CF9AE}" pid="67" name="ZOTERO_BREF_EdTEz2yOHUTH_5">
    <vt:lpwstr>etry to investigate the patterns of hybridization and introgression in the Brazilian sea turtle population and their relationship with the migratory behaviours between feeding and nesting aggregations. We also explicitly test if the mixing of two divergen</vt:lpwstr>
  </property>
  <property fmtid="{D5CDD505-2E9C-101B-9397-08002B2CF9AE}" pid="68" name="ZOTERO_BREF_EdTEz2yOHUTH_6">
    <vt:lpwstr>t genomes in sea turtle hybrids causes mitochondrial paternal leakage. We developed a new species‐specific PCR‐assay capable of detecting mitochondrial DNA (mtDNA) inheritance from both parental species and performed ultra‐deep sequencing to estimate the </vt:lpwstr>
  </property>
  <property fmtid="{D5CDD505-2E9C-101B-9397-08002B2CF9AE}" pid="69" name="ZOTERO_BREF_EdTEz2yOHUTH_7">
    <vt:lpwstr>abundance of each mtDNA type. Our results show that all adult hybrids are first generation (F1) and most display a loggerhead migratory behaviour. We detected paternal leakage in F1 hybrids and different proportions of mitochondria from maternal and pater</vt:lpwstr>
  </property>
  <property fmtid="{D5CDD505-2E9C-101B-9397-08002B2CF9AE}" pid="70" name="ZOTERO_BREF_EdTEz2yOHUTH_8">
    <vt:lpwstr>nal species. Although previous studies showed no significant fitness decrease in hatchlings, our results support genetically‐related hybrid breakdown possibly caused by cytonuclear incompatibility. Further research on hybrids from other populations in add</vt:lpwstr>
  </property>
  <property fmtid="{D5CDD505-2E9C-101B-9397-08002B2CF9AE}" pid="71" name="ZOTERO_BREF_EdTEz2yOHUTH_9">
    <vt:lpwstr>ition to Brazil and between different species will show if backcross inviability and mitochondrial paternal leakage is observed across sea turtle species.","container-title":"Molecular Ecology","DOI":"10.1111/mec.16773","ISSN":"0962-1083, 1365-294X","issu</vt:lpwstr>
  </property>
  <property fmtid="{D5CDD505-2E9C-101B-9397-08002B2CF9AE}" pid="72" name="ZOTERO_BREF_Gyetevndoh5i_1">
    <vt:lpwstr>ZOTERO_ITEM CSL_CITATION {"citationID":"VjJEGzwr","properties":{"formattedCitation":"(21)","plainCitation":"(21)","noteIndex":0},"citationItems":[{"id":3433,"uris":["http://zotero.org/users/8513884/items/ES42ACEB"],"itemData":{"id":3433,"type":"report","g</vt:lpwstr>
  </property>
  <property fmtid="{D5CDD505-2E9C-101B-9397-08002B2CF9AE}" pid="73" name="ZOTERO_BREF_Gyetevndoh5i_2">
    <vt:lpwstr>enre":"manual","title":"patchwork: The composer of plots","URL":"https://patchwork.data-imaginist.com","author":[{"family":"Pedersen","given":"Thomas Lin"}],"issued":{"date-parts":[["2025"]]},"citation-key":"pedersenPatchworkComposerPlots2025"}}],"schema"</vt:lpwstr>
  </property>
  <property fmtid="{D5CDD505-2E9C-101B-9397-08002B2CF9AE}" pid="74" name="ZOTERO_BREF_Gyetevndoh5i_3">
    <vt:lpwstr>:"https://github.com/citation-style-language/schema/raw/master/csl-citation.json"}</vt:lpwstr>
  </property>
  <property fmtid="{D5CDD505-2E9C-101B-9397-08002B2CF9AE}" pid="75" name="ZOTERO_BREF_HIWosQ0aWPU8_1">
    <vt:lpwstr>ZOTERO_ITEM CSL_CITATION {"citationID":"adUYqwPE","properties":{"formattedCitation":"(2, 3)","plainCitation":"(2, 3)","noteIndex":0},"citationItems":[{"id":69,"uris":["http://zotero.org/users/8513884/items/9F9W57ED"],"itemData":{"id":69,"type":"article-jo</vt:lpwstr>
  </property>
  <property fmtid="{D5CDD505-2E9C-101B-9397-08002B2CF9AE}" pid="76" name="ZOTERO_BREF_HIWosQ0aWPU8_10">
    <vt:lpwstr>uza"},{"family":"Ferreira","given":"Lucas Cabral Lage"},{"family":"Driller","given":"Maximilian"},{"family":"Repinaldo Filho","given":"Fernando Pedro Marinho"},{"family":"Mazzoni","given":"Camila Junqueira"},{"family":"Santos","given":"Fabrício Rodrigues"</vt:lpwstr>
  </property>
  <property fmtid="{D5CDD505-2E9C-101B-9397-08002B2CF9AE}" pid="77" name="ZOTERO_BREF_HIWosQ0aWPU8_11">
    <vt:lpwstr>}],"issued":{"date-parts":[["2020",7,30]]},"citation-key":"arantesGenomicEvidenceRecent2020"}},{"id":9,"uris":["http://zotero.org/users/8513884/items/EVEA6U8W"],"itemData":{"id":9,"type":"article-journal","abstract":"Abstract\n            \n              </vt:lpwstr>
  </property>
  <property fmtid="{D5CDD505-2E9C-101B-9397-08002B2CF9AE}" pid="78" name="ZOTERO_BREF_HIWosQ0aWPU8_12">
    <vt:lpwstr>Hybridization is known to be part of many species' evolutionary history. Sea turtles have a fascinating hybridization system in which species separated by as much as 43 million years are still capable of hybridizing. Indeed, the largest nesting population</vt:lpwstr>
  </property>
  <property fmtid="{D5CDD505-2E9C-101B-9397-08002B2CF9AE}" pid="79" name="ZOTERO_BREF_HIWosQ0aWPU8_13">
    <vt:lpwstr>s in Brazil of loggerheads (\n              Caretta caretta\n              ) and hawksbills (\n              Eretmochelys imbricata\n              ) have a high incidence of hybrids between these two species. A third species, olive ridleys (\n            </vt:lpwstr>
  </property>
  <property fmtid="{D5CDD505-2E9C-101B-9397-08002B2CF9AE}" pid="80" name="ZOTERO_BREF_HIWosQ0aWPU8_14">
    <vt:lpwstr>  Lepidochelys olivacea\n              ), is also known to hybridize although at a smaller scale. Here, we used restriction site‐associated DNA sequencing (RAD‐Seq) markers, mitogenomes, and satellite‐telemetry to investigate the patterns of hybridization</vt:lpwstr>
  </property>
  <property fmtid="{D5CDD505-2E9C-101B-9397-08002B2CF9AE}" pid="81" name="ZOTERO_BREF_HIWosQ0aWPU8_15">
    <vt:lpwstr> and introgression in the Brazilian sea turtle population and their relationship with the migratory behaviours between feeding and nesting aggregations. We also explicitly test if the mixing of two divergent genomes in sea turtle hybrids causes mitochondr</vt:lpwstr>
  </property>
  <property fmtid="{D5CDD505-2E9C-101B-9397-08002B2CF9AE}" pid="82" name="ZOTERO_BREF_HIWosQ0aWPU8_16">
    <vt:lpwstr>ial paternal leakage. We developed a new species‐specific PCR‐assay capable of detecting mitochondrial DNA (mtDNA) inheritance from both parental species and performed ultra‐deep sequencing to estimate the abundance of each mtDNA type. Our results show th</vt:lpwstr>
  </property>
  <property fmtid="{D5CDD505-2E9C-101B-9397-08002B2CF9AE}" pid="83" name="ZOTERO_BREF_HIWosQ0aWPU8_17">
    <vt:lpwstr>at all adult hybrids are first generation (F1) and most display a loggerhead migratory behaviour. We detected paternal leakage in F1 hybrids and different proportions of mitochondria from maternal and paternal species. Although previous studies showed no </vt:lpwstr>
  </property>
  <property fmtid="{D5CDD505-2E9C-101B-9397-08002B2CF9AE}" pid="84" name="ZOTERO_BREF_HIWosQ0aWPU8_18">
    <vt:lpwstr>significant fitness decrease in hatchlings, our results support genetically‐related hybrid breakdown possibly caused by cytonuclear incompatibility. Further research on hybrids from other populations in addition to Brazil and between different species wil</vt:lpwstr>
  </property>
  <property fmtid="{D5CDD505-2E9C-101B-9397-08002B2CF9AE}" pid="85" name="ZOTERO_BREF_HIWosQ0aWPU8_19">
    <vt:lpwstr>l show if backcross inviability and mitochondrial paternal leakage is observed across sea turtle species.","container-title":"Molecular Ecology","DOI":"10.1111/mec.16773","ISSN":"0962-1083, 1365-294X","issue":"3","journalAbbreviation":"Molecular Ecology",</vt:lpwstr>
  </property>
  <property fmtid="{D5CDD505-2E9C-101B-9397-08002B2CF9AE}" pid="86" name="ZOTERO_BREF_HIWosQ0aWPU8_2">
    <vt:lpwstr>urnal","abstract":"Hybridization between sea turtle species occurs with particularly high frequency at two adjacent nesting areas in northeastern Brazil. To understand the outcomes of hybridization and their consequences for sea turtle conservation, we ne</vt:lpwstr>
  </property>
  <property fmtid="{D5CDD505-2E9C-101B-9397-08002B2CF9AE}" pid="87" name="ZOTERO_BREF_HIWosQ0aWPU8_20">
    <vt:lpwstr>"language":"en","page":"628-643","source":"DOI.org (Crossref)","title":"Evidence of backcross inviability and mitochondrial &lt;span style=\"font-variant:small-caps;\"&gt;DNA&lt;/span&gt; paternal leakage in sea turtle hybrids","title-short":"Evidence of backcross in</vt:lpwstr>
  </property>
  <property fmtid="{D5CDD505-2E9C-101B-9397-08002B2CF9AE}" pid="88" name="ZOTERO_BREF_HIWosQ0aWPU8_21">
    <vt:lpwstr>viability and mitochondrial &lt;span style=\"font-variant","volume":"32","author":[{"family":"Vilaça","given":"Sibelle T."},{"family":"Maroso","given":"Francesco"},{"family":"Lara","given":"Paulo"},{"family":"De Thoisy","given":"Benoit"},{"family":"Chevallie</vt:lpwstr>
  </property>
  <property fmtid="{D5CDD505-2E9C-101B-9397-08002B2CF9AE}" pid="89" name="ZOTERO_BREF_HIWosQ0aWPU8_22">
    <vt:lpwstr>r","given":"Damien"},{"family":"Arantes","given":"Larissa Souza"},{"family":"Santos","given":"Fabricio R."},{"family":"Bertorelle","given":"Giorgio"},{"family":"Mazzoni","given":"Camila J."}],"issued":{"date-parts":[["2023",2]]},"citation-key":"vilacaEvid</vt:lpwstr>
  </property>
  <property fmtid="{D5CDD505-2E9C-101B-9397-08002B2CF9AE}" pid="90" name="ZOTERO_BREF_HIWosQ0aWPU8_23">
    <vt:lpwstr>enceBackcrossInviability2023"}}],"schema":"https://github.com/citation-style-language/schema/raw/master/csl-citation.json"}</vt:lpwstr>
  </property>
  <property fmtid="{D5CDD505-2E9C-101B-9397-08002B2CF9AE}" pid="91" name="ZOTERO_BREF_HIWosQ0aWPU8_3">
    <vt:lpwstr>ed to evaluate the extent of hybridization occurrence and possible deleterious effects in the hybrid progeny. Thus, we investigated the hypothesis of the existence of a new hybrid spot offshore of Brazil’s northeastern coast. The Abrolhos Archipelago is s</vt:lpwstr>
  </property>
  <property fmtid="{D5CDD505-2E9C-101B-9397-08002B2CF9AE}" pid="92" name="ZOTERO_BREF_HIWosQ0aWPU8_4">
    <vt:lpwstr>urrounded by the largest and richest coral reefs in the South Atlantic and is known to be a nesting site for loggerhead turtles (Caretta caretta). In this study, we performed a multidisciplinary investigation into levels of hybridization in sea turtles an</vt:lpwstr>
  </property>
  <property fmtid="{D5CDD505-2E9C-101B-9397-08002B2CF9AE}" pid="93" name="ZOTERO_BREF_HIWosQ0aWPU8_5">
    <vt:lpwstr>d their reproductive output in the Abrolhos beaches. Genetic data from mitochondrial DNA (mtDNA) and six autosomal markers showed that there are first-generation hybrid females nesting in Abrolhos, resulting from crossings between hawksbill males (Eretmoc</vt:lpwstr>
  </property>
  <property fmtid="{D5CDD505-2E9C-101B-9397-08002B2CF9AE}" pid="94" name="ZOTERO_BREF_HIWosQ0aWPU8_6">
    <vt:lpwstr>helys imbricata) and loggerhead females, and backcrossed hatchlings from both parental species. The type and extent of hybridization were characterized using genomic data obtained with the 3RAD method, which confirmed backcrossing between F1 hybrids and l</vt:lpwstr>
  </property>
  <property fmtid="{D5CDD505-2E9C-101B-9397-08002B2CF9AE}" pid="95" name="ZOTERO_BREF_HIWosQ0aWPU8_7">
    <vt:lpwstr>oggerhead turtles. The reproductive output data of Abrolhos nests suggests a disadvantage of hybrids when compared to loggerheads. For the first time, we have shown the association between hybridization and low reproductive success, which may represent a </vt:lpwstr>
  </property>
  <property fmtid="{D5CDD505-2E9C-101B-9397-08002B2CF9AE}" pid="96" name="ZOTERO_BREF_HIWosQ0aWPU8_8">
    <vt:lpwstr>threat to sea turtle conservation.","container-title":"Scientific Reports","DOI":"10.1038/s41598-020-69613-8","ISSN":"2045-2322","issue":"1","journalAbbreviation":"Sci Rep","language":"en","license":"2020 The Author(s)","note":"publisher: Nature Publishin</vt:lpwstr>
  </property>
  <property fmtid="{D5CDD505-2E9C-101B-9397-08002B2CF9AE}" pid="97" name="ZOTERO_BREF_HIWosQ0aWPU8_9">
    <vt:lpwstr>g Group","page":"12847","source":"www.nature.com","title":"Genomic evidence of recent hybridization between sea turtles at Abrolhos Archipelago and its association to low reproductive output","volume":"10","author":[{"family":"Arantes","given":"Larissa So</vt:lpwstr>
  </property>
  <property fmtid="{D5CDD505-2E9C-101B-9397-08002B2CF9AE}" pid="98" name="ZOTERO_BREF_HQCAJfw8IyRK_1">
    <vt:lpwstr>ZOTERO_ITEM CSL_CITATION {"citationID":"4LHF5qio","properties":{"formattedCitation":"(2, 8)","plainCitation":"(2, 8)","noteIndex":0},"citationItems":[{"id":69,"uris":["http://zotero.org/users/8513884/items/9F9W57ED"],"itemData":{"id":69,"type":"article-jo</vt:lpwstr>
  </property>
  <property fmtid="{D5CDD505-2E9C-101B-9397-08002B2CF9AE}" pid="99" name="ZOTERO_BREF_HQCAJfw8IyRK_10">
    <vt:lpwstr>uza"},{"family":"Ferreira","given":"Lucas Cabral Lage"},{"family":"Driller","given":"Maximilian"},{"family":"Repinaldo Filho","given":"Fernando Pedro Marinho"},{"family":"Mazzoni","given":"Camila Junqueira"},{"family":"Santos","given":"Fabrício Rodrigues"</vt:lpwstr>
  </property>
  <property fmtid="{D5CDD505-2E9C-101B-9397-08002B2CF9AE}" pid="100" name="ZOTERO_BREF_HQCAJfw8IyRK_11">
    <vt:lpwstr>}],"issued":{"date-parts":[["2020",7,30]]},"citation-key":"arantesGenomicEvidenceRecent2020"}},{"id":2969,"uris":["http://zotero.org/users/8513884/items/MQC9PFUU"],"itemData":{"id":2969,"type":"article-journal","abstract":"Molecular ecologists frequently </vt:lpwstr>
  </property>
  <property fmtid="{D5CDD505-2E9C-101B-9397-08002B2CF9AE}" pid="101" name="ZOTERO_BREF_HQCAJfw8IyRK_12">
    <vt:lpwstr>use genome reduction strategies that rely upon restriction enzyme digestion of genomic DNA to sample consistent portions of the genome from many individuals (e.g., RADseq, GBS). However, researchers often find the existing methods expensive to initiate an</vt:lpwstr>
  </property>
  <property fmtid="{D5CDD505-2E9C-101B-9397-08002B2CF9AE}" pid="102" name="ZOTERO_BREF_HQCAJfw8IyRK_13">
    <vt:lpwstr>d/or difficult to implement consistently, especially because it is difficult to multiplex sufficient numbers of samples to fill entire sequencing lanes. Here, we introduce a low-cost and highly robust approach for the construction of dual-digest RADseq li</vt:lpwstr>
  </property>
  <property fmtid="{D5CDD505-2E9C-101B-9397-08002B2CF9AE}" pid="103" name="ZOTERO_BREF_HQCAJfw8IyRK_14">
    <vt:lpwstr>braries that build on adapters and primers designed in Adapterama I. Major features of our method include: (1) minimizing the number of processing steps; (2) focusing on a single strand of sample DNA for library construction, allowing the use of a non-pho</vt:lpwstr>
  </property>
  <property fmtid="{D5CDD505-2E9C-101B-9397-08002B2CF9AE}" pid="104" name="ZOTERO_BREF_HQCAJfw8IyRK_15">
    <vt:lpwstr>sphorylated adapter on one end; (3) ligating adapters in the presence of active restriction enzymes, thereby reducing chimeras; (4) including an optional third restriction enzyme to cut apart adapter-dimers formed by the phosphorylated adapter, thus incre</vt:lpwstr>
  </property>
  <property fmtid="{D5CDD505-2E9C-101B-9397-08002B2CF9AE}" pid="105" name="ZOTERO_BREF_HQCAJfw8IyRK_16">
    <vt:lpwstr>asing the efficiency of adapter ligation to sample DNA, which is particularly effective when only low quantity/quality DNA samples are available; (5) interchangeable adapter designs; (6) incorporating variable-length internal indexes within the adapters t</vt:lpwstr>
  </property>
  <property fmtid="{D5CDD505-2E9C-101B-9397-08002B2CF9AE}" pid="106" name="ZOTERO_BREF_HQCAJfw8IyRK_17">
    <vt:lpwstr>o increase the scope of sample indexing, facilitate pooling, and increase sequence diversity; (7) maintaining compatibility with universal dual-indexed primers and thus, Illumina sequencing reagents and libraries; and, (8) easy modification for the identi</vt:lpwstr>
  </property>
  <property fmtid="{D5CDD505-2E9C-101B-9397-08002B2CF9AE}" pid="107" name="ZOTERO_BREF_HQCAJfw8IyRK_18">
    <vt:lpwstr>fication of PCR duplicates. We present eight adapter designs that work with 72 restriction enzyme combinations. We demonstrate the efficiency of our approach by comparing it with existing methods, and we validate its utility through the discovery of many </vt:lpwstr>
  </property>
  <property fmtid="{D5CDD505-2E9C-101B-9397-08002B2CF9AE}" pid="108" name="ZOTERO_BREF_HQCAJfw8IyRK_19">
    <vt:lpwstr>variable loci in a variety of non-model organisms. Our 2RAD/3RAD method is easy to perform, has low startup costs, has increased utility with low-concentration input DNA, and produces libraries that can be highly-multiplexed and pooled with other Illumina</vt:lpwstr>
  </property>
  <property fmtid="{D5CDD505-2E9C-101B-9397-08002B2CF9AE}" pid="109" name="ZOTERO_BREF_HQCAJfw8IyRK_2">
    <vt:lpwstr>urnal","abstract":"Hybridization between sea turtle species occurs with particularly high frequency at two adjacent nesting areas in northeastern Brazil. To understand the outcomes of hybridization and their consequences for sea turtle conservation, we ne</vt:lpwstr>
  </property>
  <property fmtid="{D5CDD505-2E9C-101B-9397-08002B2CF9AE}" pid="110" name="ZOTERO_BREF_HQCAJfw8IyRK_20">
    <vt:lpwstr> libraries.","container-title":"PeerJ","DOI":"10.7717/peerj.7724","ISSN":"2167-8359","journalAbbreviation":"PeerJ","language":"en","note":"publisher: PeerJ Inc.","page":"e7724","source":"peerj.com","title":"Adapterama III: Quadruple-indexed, double/triple</vt:lpwstr>
  </property>
  <property fmtid="{D5CDD505-2E9C-101B-9397-08002B2CF9AE}" pid="111" name="ZOTERO_BREF_HQCAJfw8IyRK_21">
    <vt:lpwstr>-enzyme RADseq libraries (2RAD/3RAD)","title-short":"Adapterama III","volume":"7","author":[{"family":"Bayona-Vásquez","given":"Natalia J."},{"family":"Glenn","given":"Travis C."},{"family":"Kieran","given":"Troy J."},{"family":"Pierson","given":"Todd W."</vt:lpwstr>
  </property>
  <property fmtid="{D5CDD505-2E9C-101B-9397-08002B2CF9AE}" pid="112" name="ZOTERO_BREF_HQCAJfw8IyRK_22">
    <vt:lpwstr>},{"family":"Hoffberg","given":"Sandra L."},{"family":"Scott","given":"Peter A."},{"family":"Bentley","given":"Kerin E."},{"family":"Finger","given":"John W."},{"family":"Louha","given":"Swarnali"},{"family":"Troendle","given":"Nicholas"},{"family":"Diaz-</vt:lpwstr>
  </property>
  <property fmtid="{D5CDD505-2E9C-101B-9397-08002B2CF9AE}" pid="113" name="ZOTERO_BREF_HQCAJfw8IyRK_23">
    <vt:lpwstr>Jaimes","given":"Pindaro"},{"family":"Mauricio","given":"Rodney"},{"family":"Faircloth","given":"Brant C."}],"issued":{"date-parts":[["2019",10,11]]},"citation-key":"bayona-vasquezAdapteramaIIIQuadrupleindexed2019"}}],"schema":"https://github.com/citation</vt:lpwstr>
  </property>
  <property fmtid="{D5CDD505-2E9C-101B-9397-08002B2CF9AE}" pid="114" name="ZOTERO_BREF_HQCAJfw8IyRK_24">
    <vt:lpwstr>-style-language/schema/raw/master/csl-citation.json"}</vt:lpwstr>
  </property>
  <property fmtid="{D5CDD505-2E9C-101B-9397-08002B2CF9AE}" pid="115" name="ZOTERO_BREF_HQCAJfw8IyRK_3">
    <vt:lpwstr>ed to evaluate the extent of hybridization occurrence and possible deleterious effects in the hybrid progeny. Thus, we investigated the hypothesis of the existence of a new hybrid spot offshore of Brazil’s northeastern coast. The Abrolhos Archipelago is s</vt:lpwstr>
  </property>
  <property fmtid="{D5CDD505-2E9C-101B-9397-08002B2CF9AE}" pid="116" name="ZOTERO_BREF_HQCAJfw8IyRK_4">
    <vt:lpwstr>urrounded by the largest and richest coral reefs in the South Atlantic and is known to be a nesting site for loggerhead turtles (Caretta caretta). In this study, we performed a multidisciplinary investigation into levels of hybridization in sea turtles an</vt:lpwstr>
  </property>
  <property fmtid="{D5CDD505-2E9C-101B-9397-08002B2CF9AE}" pid="117" name="ZOTERO_BREF_HQCAJfw8IyRK_5">
    <vt:lpwstr>d their reproductive output in the Abrolhos beaches. Genetic data from mitochondrial DNA (mtDNA) and six autosomal markers showed that there are first-generation hybrid females nesting in Abrolhos, resulting from crossings between hawksbill males (Eretmoc</vt:lpwstr>
  </property>
  <property fmtid="{D5CDD505-2E9C-101B-9397-08002B2CF9AE}" pid="118" name="ZOTERO_BREF_HQCAJfw8IyRK_6">
    <vt:lpwstr>helys imbricata) and loggerhead females, and backcrossed hatchlings from both parental species. The type and extent of hybridization were characterized using genomic data obtained with the 3RAD method, which confirmed backcrossing between F1 hybrids and l</vt:lpwstr>
  </property>
  <property fmtid="{D5CDD505-2E9C-101B-9397-08002B2CF9AE}" pid="119" name="ZOTERO_BREF_HQCAJfw8IyRK_7">
    <vt:lpwstr>oggerhead turtles. The reproductive output data of Abrolhos nests suggests a disadvantage of hybrids when compared to loggerheads. For the first time, we have shown the association between hybridization and low reproductive success, which may represent a </vt:lpwstr>
  </property>
  <property fmtid="{D5CDD505-2E9C-101B-9397-08002B2CF9AE}" pid="120" name="ZOTERO_BREF_HQCAJfw8IyRK_8">
    <vt:lpwstr>threat to sea turtle conservation.","container-title":"Scientific Reports","DOI":"10.1038/s41598-020-69613-8","ISSN":"2045-2322","issue":"1","journalAbbreviation":"Sci Rep","language":"en","license":"2020 The Author(s)","note":"publisher: Nature Publishin</vt:lpwstr>
  </property>
  <property fmtid="{D5CDD505-2E9C-101B-9397-08002B2CF9AE}" pid="121" name="ZOTERO_BREF_HQCAJfw8IyRK_9">
    <vt:lpwstr>g Group","page":"12847","source":"www.nature.com","title":"Genomic evidence of recent hybridization between sea turtles at Abrolhos Archipelago and its association to low reproductive output","volume":"10","author":[{"family":"Arantes","given":"Larissa So</vt:lpwstr>
  </property>
  <property fmtid="{D5CDD505-2E9C-101B-9397-08002B2CF9AE}" pid="122" name="ZOTERO_BREF_KfsQUNP0k9JM_1">
    <vt:lpwstr>ZOTERO_ITEM CSL_CITATION {"citationID":"NPSkNHxZ","properties":{"formattedCitation":"(15)","plainCitation":"(15)","noteIndex":0},"citationItems":[{"id":3416,"uris":["http://zotero.org/users/8513884/items/AS2AU57A"],"itemData":{"id":3416,"type":"article-jo</vt:lpwstr>
  </property>
  <property fmtid="{D5CDD505-2E9C-101B-9397-08002B2CF9AE}" pid="123" name="ZOTERO_BREF_KfsQUNP0k9JM_2">
    <vt:lpwstr>urnal","abstract":"Inference of population structure and individual ancestry is important both for population genetics and for association studies. With next generation sequencing technologies it is possible to obtain genetic data for all accessible genet</vt:lpwstr>
  </property>
  <property fmtid="{D5CDD505-2E9C-101B-9397-08002B2CF9AE}" pid="124" name="ZOTERO_BREF_KfsQUNP0k9JM_3">
    <vt:lpwstr>ic variations in the genome. Existing methods for admixture analysis rely on known genotypes. However, individual genotypes cannot be inferred from low-depth sequencing data without introducing errors. This article presents a new method for inferring an i</vt:lpwstr>
  </property>
  <property fmtid="{D5CDD505-2E9C-101B-9397-08002B2CF9AE}" pid="125" name="ZOTERO_BREF_KfsQUNP0k9JM_4">
    <vt:lpwstr>ndividual's ancestry that takes the uncertainty introduced in next generation sequencing data into account. This is achieved by working directly with genotype likelihoods that contain all relevant information of the unobserved genotypes. Using simulations</vt:lpwstr>
  </property>
  <property fmtid="{D5CDD505-2E9C-101B-9397-08002B2CF9AE}" pid="126" name="ZOTERO_BREF_KfsQUNP0k9JM_5">
    <vt:lpwstr> as well as publicly available sequencing data, we demonstrate that the presented method has great accuracy even for very low-depth data. At the same time, we demonstrate that applying existing methods to genotypes called from the same data can introduce </vt:lpwstr>
  </property>
  <property fmtid="{D5CDD505-2E9C-101B-9397-08002B2CF9AE}" pid="127" name="ZOTERO_BREF_KfsQUNP0k9JM_6">
    <vt:lpwstr>severe biases. The presented method is implemented in the NGSadmix software available at http://www.popgen.dk/software.","container-title":"Genetics","DOI":"10.1534/genetics.113.154138","ISSN":"1943-2631","issue":"3","journalAbbreviation":"Genetics","lang</vt:lpwstr>
  </property>
  <property fmtid="{D5CDD505-2E9C-101B-9397-08002B2CF9AE}" pid="128" name="ZOTERO_BREF_KfsQUNP0k9JM_7">
    <vt:lpwstr>uage":"eng","note":"PMID: 24026093\nPMCID: PMC3813857","page":"693-702","source":"PubMed","title":"Estimating individual admixture proportions from next generation sequencing data","volume":"195","author":[{"family":"Skotte","given":"Line"},{"family":"Kor</vt:lpwstr>
  </property>
  <property fmtid="{D5CDD505-2E9C-101B-9397-08002B2CF9AE}" pid="129" name="ZOTERO_BREF_KfsQUNP0k9JM_8">
    <vt:lpwstr>neliussen","given":"Thorfinn Sand"},{"family":"Albrechtsen","given":"Anders"}],"issued":{"date-parts":[["2013",11]]},"citation-key":"skotteEstimatingIndividualAdmixture2013a"}}],"schema":"https://github.com/citation-style-language/schema/raw/master/csl-ci</vt:lpwstr>
  </property>
  <property fmtid="{D5CDD505-2E9C-101B-9397-08002B2CF9AE}" pid="130" name="ZOTERO_BREF_KfsQUNP0k9JM_9">
    <vt:lpwstr>tation.json"}</vt:lpwstr>
  </property>
  <property fmtid="{D5CDD505-2E9C-101B-9397-08002B2CF9AE}" pid="131" name="ZOTERO_BREF_M8hkuLTxdkar_1">
    <vt:lpwstr>ZOTERO_ITEM CSL_CITATION {"citationID":"rK1dAAfX","properties":{"formattedCitation":"(7)","plainCitation":"(7)","noteIndex":0},"citationItems":[{"id":2972,"uris":["http://zotero.org/users/8513884/items/H4K3V9MX"],"itemData":{"id":2972,"type":"article-jour</vt:lpwstr>
  </property>
  <property fmtid="{D5CDD505-2E9C-101B-9397-08002B2CF9AE}" pid="132" name="ZOTERO_BREF_M8hkuLTxdkar_10">
    <vt:lpwstr>urnalAbbreviation":"PLOS ONE","language":"en","note":"publisher: Public Library of Science","page":"e37135","source":"PLoS Journals","title":"Double Digest RADseq: An Inexpensive Method for De Novo SNP Discovery and Genotyping in Model and Non-Model Speci</vt:lpwstr>
  </property>
  <property fmtid="{D5CDD505-2E9C-101B-9397-08002B2CF9AE}" pid="133" name="ZOTERO_BREF_M8hkuLTxdkar_11">
    <vt:lpwstr>es","title-short":"Double Digest RADseq","volume":"7","author":[{"family":"Peterson","given":"Brant K."},{"family":"Weber","given":"Jesse N."},{"family":"Kay","given":"Emily H."},{"family":"Fisher","given":"Heidi S."},{"family":"Hoekstra","given":"Hopi E.</vt:lpwstr>
  </property>
  <property fmtid="{D5CDD505-2E9C-101B-9397-08002B2CF9AE}" pid="134" name="ZOTERO_BREF_M8hkuLTxdkar_12">
    <vt:lpwstr>"}],"issued":{"date-parts":[["2012",5,31]]},"citation-key":"petersonDoubleDigestRADseq2012"}}],"schema":"https://github.com/citation-style-language/schema/raw/master/csl-citation.json"}</vt:lpwstr>
  </property>
  <property fmtid="{D5CDD505-2E9C-101B-9397-08002B2CF9AE}" pid="135" name="ZOTERO_BREF_M8hkuLTxdkar_2">
    <vt:lpwstr>nal","abstract":"The ability to efficiently and accurately determine genotypes is a keystone technology in modern genetics, crucial to studies ranging from clinical diagnostics, to genotype-phenotype association, to reconstruction of ancestry and the dete</vt:lpwstr>
  </property>
  <property fmtid="{D5CDD505-2E9C-101B-9397-08002B2CF9AE}" pid="136" name="ZOTERO_BREF_M8hkuLTxdkar_3">
    <vt:lpwstr>ction of selection. To date, high capacity, low cost genotyping has been largely achieved via “SNP chip” microarray-based platforms which require substantial prior knowledge of both genome sequence and variability, and once designed are suitable only for </vt:lpwstr>
  </property>
  <property fmtid="{D5CDD505-2E9C-101B-9397-08002B2CF9AE}" pid="137" name="ZOTERO_BREF_M8hkuLTxdkar_4">
    <vt:lpwstr>those targeted variable nucleotide sites. This method introduces substantial ascertainment bias and inherently precludes detection of rare or population-specific variants, a major source of information for both population history and genotype-phenotype as</vt:lpwstr>
  </property>
  <property fmtid="{D5CDD505-2E9C-101B-9397-08002B2CF9AE}" pid="138" name="ZOTERO_BREF_M8hkuLTxdkar_5">
    <vt:lpwstr>sociation. Recent developments in reduced-representation genome sequencing experiments on massively parallel sequencers (commonly referred to as RAD-tag or RADseq) have brought direct sequencing to the problem of population genotyping, but increased cost </vt:lpwstr>
  </property>
  <property fmtid="{D5CDD505-2E9C-101B-9397-08002B2CF9AE}" pid="139" name="ZOTERO_BREF_M8hkuLTxdkar_6">
    <vt:lpwstr>and procedural and analytical complexity have limited their widespread adoption. Here, we describe a complete laboratory protocol, including a custom combinatorial indexing method, and accompanying software tools to facilitate genotyping across large numb</vt:lpwstr>
  </property>
  <property fmtid="{D5CDD505-2E9C-101B-9397-08002B2CF9AE}" pid="140" name="ZOTERO_BREF_M8hkuLTxdkar_7">
    <vt:lpwstr>ers (hundreds or more) of individuals for a range of markers (hundreds to hundreds of thousands). Our method requires no prior genomic knowledge and achieves per-site and per-individual costs below that of current SNP chip technology, while requiring simi</vt:lpwstr>
  </property>
  <property fmtid="{D5CDD505-2E9C-101B-9397-08002B2CF9AE}" pid="141" name="ZOTERO_BREF_M8hkuLTxdkar_8">
    <vt:lpwstr>lar hands-on time investment, comparable amounts of input DNA, and downstream analysis times on the order of hours. Finally, we provide empirical results from the application of this method to both genotyping in a laboratory cross and in wild populations.</vt:lpwstr>
  </property>
  <property fmtid="{D5CDD505-2E9C-101B-9397-08002B2CF9AE}" pid="142" name="ZOTERO_BREF_M8hkuLTxdkar_9">
    <vt:lpwstr> Because of its flexibility, this modified RADseq approach promises to be applicable to a diversity of biological questions in a wide range of organisms.","container-title":"PLOS ONE","DOI":"10.1371/journal.pone.0037135","ISSN":"1932-6203","issue":"5","jo</vt:lpwstr>
  </property>
  <property fmtid="{D5CDD505-2E9C-101B-9397-08002B2CF9AE}" pid="143" name="ZOTERO_BREF_PImvjH0rNDG5_1">
    <vt:lpwstr>ZOTERO_ITEM CSL_CITATION {"citationID":"WTM3l97f","properties":{"formattedCitation":"(17)","plainCitation":"(17)","noteIndex":0},"citationItems":[{"id":3430,"uris":["http://zotero.org/users/8513884/items/I8MWBBMI"],"itemData":{"id":3430,"type":"article-jo</vt:lpwstr>
  </property>
  <property fmtid="{D5CDD505-2E9C-101B-9397-08002B2CF9AE}" pid="144" name="ZOTERO_BREF_PImvjH0rNDG5_2">
    <vt:lpwstr>urnal","container-title":"Journal of Open Source Software","DOI":"10.21105/joss.01686","ISSN":"2475-9066","issue":"43","journalAbbreviation":"JOSS","license":"http://creativecommons.org/licenses/by/4.0/","page":"1686","source":"DOI.org (Crossref)","title"</vt:lpwstr>
  </property>
  <property fmtid="{D5CDD505-2E9C-101B-9397-08002B2CF9AE}" pid="145" name="ZOTERO_BREF_PImvjH0rNDG5_3">
    <vt:lpwstr>:"Welcome to the Tidyverse","volume":"4","author":[{"family":"Wickham","given":"Hadley"},{"family":"Averick","given":"Mara"},{"family":"Bryan","given":"Jennifer"},{"family":"Chang","given":"Winston"},{"family":"McGowan","given":"Lucy"},{"family":"François</vt:lpwstr>
  </property>
  <property fmtid="{D5CDD505-2E9C-101B-9397-08002B2CF9AE}" pid="146" name="ZOTERO_BREF_PImvjH0rNDG5_4">
    <vt:lpwstr>","given":"Romain"},{"family":"Grolemund","given":"Garrett"},{"family":"Hayes","given":"Alex"},{"family":"Henry","given":"Lionel"},{"family":"Hester","given":"Jim"},{"family":"Kuhn","given":"Max"},{"family":"Pedersen","given":"Thomas"},{"family":"Miller",</vt:lpwstr>
  </property>
  <property fmtid="{D5CDD505-2E9C-101B-9397-08002B2CF9AE}" pid="147" name="ZOTERO_BREF_PImvjH0rNDG5_5">
    <vt:lpwstr>"given":"Evan"},{"family":"Bache","given":"Stephan"},{"family":"Müller","given":"Kirill"},{"family":"Ooms","given":"Jeroen"},{"family":"Robinson","given":"David"},{"family":"Seidel","given":"Dana"},{"family":"Spinu","given":"Vitalie"},{"family":"Takahashi</vt:lpwstr>
  </property>
  <property fmtid="{D5CDD505-2E9C-101B-9397-08002B2CF9AE}" pid="148" name="ZOTERO_BREF_PImvjH0rNDG5_6">
    <vt:lpwstr>","given":"Kohske"},{"family":"Vaughan","given":"Davis"},{"family":"Wilke","given":"Claus"},{"family":"Woo","given":"Kara"},{"family":"Yutani","given":"Hiroaki"}],"issued":{"date-parts":[["2019",11,21]]},"citation-key":"wickhamWelcomeTidyverse2019a"}}],"s</vt:lpwstr>
  </property>
  <property fmtid="{D5CDD505-2E9C-101B-9397-08002B2CF9AE}" pid="149" name="ZOTERO_BREF_PImvjH0rNDG5_7">
    <vt:lpwstr>chema":"https://github.com/citation-style-language/schema/raw/master/csl-citation.json"}</vt:lpwstr>
  </property>
  <property fmtid="{D5CDD505-2E9C-101B-9397-08002B2CF9AE}" pid="150" name="ZOTERO_BREF_QI19HcPXsWVF_1">
    <vt:lpwstr>ZOTERO_ITEM CSL_CITATION {"citationID":"FCuU3nCC","properties":{"formattedCitation":"(2, 3, 4, 5, 6)","plainCitation":"(2, 3, 4, 5, 6)","noteIndex":0},"citationItems":[{"id":69,"uris":["http://zotero.org/users/8513884/items/9F9W57ED"],"itemData":{"id":69,</vt:lpwstr>
  </property>
  <property fmtid="{D5CDD505-2E9C-101B-9397-08002B2CF9AE}" pid="151" name="ZOTERO_BREF_QI19HcPXsWVF_10">
    <vt:lpwstr>given":"Larissa Souza"},{"family":"Ferreira","given":"Lucas Cabral Lage"},{"family":"Driller","given":"Maximilian"},{"family":"Repinaldo Filho","given":"Fernando Pedro Marinho"},{"family":"Mazzoni","given":"Camila Junqueira"},{"family":"Santos","given":"F</vt:lpwstr>
  </property>
  <property fmtid="{D5CDD505-2E9C-101B-9397-08002B2CF9AE}" pid="152" name="ZOTERO_BREF_QI19HcPXsWVF_11">
    <vt:lpwstr>abrício Rodrigues"}],"issued":{"date-parts":[["2020",7,30]]},"citation-key":"arantesGenomicEvidenceRecent2020"}},{"id":9,"uris":["http://zotero.org/users/8513884/items/EVEA6U8W"],"itemData":{"id":9,"type":"article-journal","abstract":"Abstract\n          </vt:lpwstr>
  </property>
  <property fmtid="{D5CDD505-2E9C-101B-9397-08002B2CF9AE}" pid="153" name="ZOTERO_BREF_QI19HcPXsWVF_12">
    <vt:lpwstr>  \n              Hybridization is known to be part of many species' evolutionary history. Sea turtles have a fascinating hybridization system in which species separated by as much as 43 million years are still capable of hybridizing. Indeed, the largest </vt:lpwstr>
  </property>
  <property fmtid="{D5CDD505-2E9C-101B-9397-08002B2CF9AE}" pid="154" name="ZOTERO_BREF_QI19HcPXsWVF_13">
    <vt:lpwstr>nesting populations in Brazil of loggerheads (\n              Caretta caretta\n              ) and hawksbills (\n              Eretmochelys imbricata\n              ) have a high incidence of hybrids between these two species. A third species, olive ridle</vt:lpwstr>
  </property>
  <property fmtid="{D5CDD505-2E9C-101B-9397-08002B2CF9AE}" pid="155" name="ZOTERO_BREF_QI19HcPXsWVF_14">
    <vt:lpwstr>ys (\n              Lepidochelys olivacea\n              ), is also known to hybridize although at a smaller scale. Here, we used restriction site‐associated DNA sequencing (RAD‐Seq) markers, mitogenomes, and satellite‐telemetry to investigate the pattern</vt:lpwstr>
  </property>
  <property fmtid="{D5CDD505-2E9C-101B-9397-08002B2CF9AE}" pid="156" name="ZOTERO_BREF_QI19HcPXsWVF_15">
    <vt:lpwstr>s of hybridization and introgression in the Brazilian sea turtle population and their relationship with the migratory behaviours between feeding and nesting aggregations. We also explicitly test if the mixing of two divergent genomes in sea turtle hybrids</vt:lpwstr>
  </property>
  <property fmtid="{D5CDD505-2E9C-101B-9397-08002B2CF9AE}" pid="157" name="ZOTERO_BREF_QI19HcPXsWVF_16">
    <vt:lpwstr> causes mitochondrial paternal leakage. We developed a new species‐specific PCR‐assay capable of detecting mitochondrial DNA (mtDNA) inheritance from both parental species and performed ultra‐deep sequencing to estimate the abundance of each mtDNA type. O</vt:lpwstr>
  </property>
  <property fmtid="{D5CDD505-2E9C-101B-9397-08002B2CF9AE}" pid="158" name="ZOTERO_BREF_QI19HcPXsWVF_17">
    <vt:lpwstr>ur results show that all adult hybrids are first generation (F1) and most display a loggerhead migratory behaviour. We detected paternal leakage in F1 hybrids and different proportions of mitochondria from maternal and paternal species. Although previous </vt:lpwstr>
  </property>
  <property fmtid="{D5CDD505-2E9C-101B-9397-08002B2CF9AE}" pid="159" name="ZOTERO_BREF_QI19HcPXsWVF_18">
    <vt:lpwstr>studies showed no significant fitness decrease in hatchlings, our results support genetically‐related hybrid breakdown possibly caused by cytonuclear incompatibility. Further research on hybrids from other populations in addition to Brazil and between dif</vt:lpwstr>
  </property>
  <property fmtid="{D5CDD505-2E9C-101B-9397-08002B2CF9AE}" pid="160" name="ZOTERO_BREF_QI19HcPXsWVF_19">
    <vt:lpwstr>ferent species will show if backcross inviability and mitochondrial paternal leakage is observed across sea turtle species.","container-title":"Molecular Ecology","DOI":"10.1111/mec.16773","ISSN":"0962-1083, 1365-294X","issue":"3","journalAbbreviation":"M</vt:lpwstr>
  </property>
  <property fmtid="{D5CDD505-2E9C-101B-9397-08002B2CF9AE}" pid="161" name="ZOTERO_BREF_QI19HcPXsWVF_2">
    <vt:lpwstr>"type":"article-journal","abstract":"Hybridization between sea turtle species occurs with particularly high frequency at two adjacent nesting areas in northeastern Brazil. To understand the outcomes of hybridization and their consequences for sea turtle c</vt:lpwstr>
  </property>
  <property fmtid="{D5CDD505-2E9C-101B-9397-08002B2CF9AE}" pid="162" name="ZOTERO_BREF_QI19HcPXsWVF_20">
    <vt:lpwstr>olecular Ecology","language":"en","page":"628-643","source":"DOI.org (Crossref)","title":"Evidence of backcross inviability and mitochondrial &lt;span style=\"font-variant:small-caps;\"&gt;DNA&lt;/span&gt; paternal leakage in sea turtle hybrids","title-short":"Eviden</vt:lpwstr>
  </property>
  <property fmtid="{D5CDD505-2E9C-101B-9397-08002B2CF9AE}" pid="163" name="ZOTERO_BREF_QI19HcPXsWVF_21">
    <vt:lpwstr>ce of backcross inviability and mitochondrial &lt;span style=\"font-variant","volume":"32","author":[{"family":"Vilaça","given":"Sibelle T."},{"family":"Maroso","given":"Francesco"},{"family":"Lara","given":"Paulo"},{"family":"De Thoisy","given":"Benoit"},{"</vt:lpwstr>
  </property>
  <property fmtid="{D5CDD505-2E9C-101B-9397-08002B2CF9AE}" pid="164" name="ZOTERO_BREF_QI19HcPXsWVF_22">
    <vt:lpwstr>family":"Chevallier","given":"Damien"},{"family":"Arantes","given":"Larissa Souza"},{"family":"Santos","given":"Fabricio R."},{"family":"Bertorelle","given":"Giorgio"},{"family":"Mazzoni","given":"Camila J."}],"issued":{"date-parts":[["2023",2]]},"citatio</vt:lpwstr>
  </property>
  <property fmtid="{D5CDD505-2E9C-101B-9397-08002B2CF9AE}" pid="165" name="ZOTERO_BREF_QI19HcPXsWVF_23">
    <vt:lpwstr>n-key":"vilacaEvidenceBackcrossInviability2023"}},{"id":3438,"uris":["http://zotero.org/users/8513884/items/UK66L38A"],"itemData":{"id":3438,"type":"article-journal","abstract":"This paper presents data on the incidental catch of sea turtles in both the B</vt:lpwstr>
  </property>
  <property fmtid="{D5CDD505-2E9C-101B-9397-08002B2CF9AE}" pid="166" name="ZOTERO_BREF_QI19HcPXsWVF_24">
    <vt:lpwstr>razilian exclusive economic zone and adjacent international waters (both areas are located mainly in the south-western Atlantic) by Brazilian commercial pelagic longliners targeting swordfish, tuna and sharks. Data were obtained by on-board observers for </vt:lpwstr>
  </property>
  <property fmtid="{D5CDD505-2E9C-101B-9397-08002B2CF9AE}" pid="167" name="ZOTERO_BREF_QI19HcPXsWVF_25">
    <vt:lpwstr>311 trips carried out in 2001–2005, totalling 7385 sets and 11,348,069 hooks. A total of 1386 sea turtles were incidentally captured in the five years (some of them were considered dead at capture): 789 loggerheads (Caretta caretta), 341 leatherbacks (Der</vt:lpwstr>
  </property>
  <property fmtid="{D5CDD505-2E9C-101B-9397-08002B2CF9AE}" pid="168" name="ZOTERO_BREF_QI19HcPXsWVF_26">
    <vt:lpwstr>mochelys coriacea), 45 green turtles (Chelonia mydas), 81 olive ridleys (Lepidochelys olivacea) and 130 of unknown species. Taking into account the distribution of the fishing effort in the study area and the incidental catch of sea turtles, four regions </vt:lpwstr>
  </property>
  <property fmtid="{D5CDD505-2E9C-101B-9397-08002B2CF9AE}" pid="169" name="ZOTERO_BREF_QI19HcPXsWVF_27">
    <vt:lpwstr>were highlighted for the analyses: Zone 1 is located off the northern Brazilian coast; Zone 2 is located off the central Brazilian coast; Zone 3 is the region off the southern Brazilian coast; and Zone 4, located in the open sea almost totally within inte</vt:lpwstr>
  </property>
  <property fmtid="{D5CDD505-2E9C-101B-9397-08002B2CF9AE}" pid="170" name="ZOTERO_BREF_QI19HcPXsWVF_28">
    <vt:lpwstr>rnational waters, is the region around a chain of undersea mountains known as the Rio Grande Rise (Elevação do Rio Grande). There is no information on the origin (nesting areas) of the captured olive ridleys, but there is some evidence, obtained through g</vt:lpwstr>
  </property>
  <property fmtid="{D5CDD505-2E9C-101B-9397-08002B2CF9AE}" pid="171" name="ZOTERO_BREF_QI19HcPXsWVF_29">
    <vt:lpwstr>enetic and demographic analyses, that loggerheads, leatherbacks and green turtles inhabiting the open ocean around Brazil originate from nesting areas in several countries. Together with the fact that the south-western Atlantic is fished by longliners aga</vt:lpwstr>
  </property>
  <property fmtid="{D5CDD505-2E9C-101B-9397-08002B2CF9AE}" pid="172" name="ZOTERO_BREF_QI19HcPXsWVF_3">
    <vt:lpwstr>onservation, we need to evaluate the extent of hybridization occurrence and possible deleterious effects in the hybrid progeny. Thus, we investigated the hypothesis of the existence of a new hybrid spot offshore of Brazil’s northeastern coast. The Abrolho</vt:lpwstr>
  </property>
  <property fmtid="{D5CDD505-2E9C-101B-9397-08002B2CF9AE}" pid="173" name="ZOTERO_BREF_QI19HcPXsWVF_30">
    <vt:lpwstr>in from several countries, this places the conservation of sea turtles in that part of the ocean in an international context. Some conservation actions carried out by Brazil concerning the interaction between pelagic longlines and sea turtles in the study</vt:lpwstr>
  </property>
  <property fmtid="{D5CDD505-2E9C-101B-9397-08002B2CF9AE}" pid="174" name="ZOTERO_BREF_QI19HcPXsWVF_31">
    <vt:lpwstr> area are described.","container-title":"Journal of the Marine Biological Association of the United Kingdom","DOI":"10.1017/S0025315408000441","ISSN":"1469-7769, 0025-3154","issue":"4","language":"en","page":"853-864","source":"Cambridge University Press"</vt:lpwstr>
  </property>
  <property fmtid="{D5CDD505-2E9C-101B-9397-08002B2CF9AE}" pid="175" name="ZOTERO_BREF_QI19HcPXsWVF_32">
    <vt:lpwstr>,"title":"Incidental catch of sea turtles by the Brazilian pelagic longline fishery","volume":"88","author":[{"family":"Sales","given":"Gilberto"},{"family":"Giffoni","given":"Bruno B."},{"family":"Barata","given":"Paulo C. R."}],"issued":{"date-parts":[[</vt:lpwstr>
  </property>
  <property fmtid="{D5CDD505-2E9C-101B-9397-08002B2CF9AE}" pid="176" name="ZOTERO_BREF_QI19HcPXsWVF_33">
    <vt:lpwstr>"2008",8]]},"citation-key":"salesIncidentalCatchSea2008"}},{"id":3440,"uris":["http://zotero.org/users/8513884/items/8FXE3YBZ"],"itemData":{"id":3440,"type":"article-journal","abstract":"Fisheries are recognised as a major threat to sea turtles worldwide.</vt:lpwstr>
  </property>
  <property fmtid="{D5CDD505-2E9C-101B-9397-08002B2CF9AE}" pid="177" name="ZOTERO_BREF_QI19HcPXsWVF_34">
    <vt:lpwstr> Oceanic driftnets are considered the main cause of the steep decline in Pacific Ocean populations of the leatherback sea turtle Dermochelys coriacea. The world’s largest leatherback population nests in West Africa and migrates across the Atlantic Ocean t</vt:lpwstr>
  </property>
  <property fmtid="{D5CDD505-2E9C-101B-9397-08002B2CF9AE}" pid="178" name="ZOTERO_BREF_QI19HcPXsWVF_35">
    <vt:lpwstr>o feed off the South American coast. There, the turtles encounter a range of fisheries, including the Brazilian driftnet fishery targeting hammerhead sharks. From 2002 to 2008, 351 sea turtles were incidentally caught in 41 fishing trips and 371 sets. Lea</vt:lpwstr>
  </property>
  <property fmtid="{D5CDD505-2E9C-101B-9397-08002B2CF9AE}" pid="179" name="ZOTERO_BREF_QI19HcPXsWVF_36">
    <vt:lpwstr>therbacks accounted for 77.3% of the take (n = 252 turtles, capture rate = 0.1405 turtles/km of net), followed by loggerheads Caretta caretta (47 individuals, capture rate = 0.0262 turtles/km of net), green turtles Chelonia mydas (27 individuals, capture </vt:lpwstr>
  </property>
  <property fmtid="{D5CDD505-2E9C-101B-9397-08002B2CF9AE}" pid="180" name="ZOTERO_BREF_QI19HcPXsWVF_37">
    <vt:lpwstr>rate = 0.0151 turtles/km of net) and unidentified hard-shelled turtles (25 individual, capture rate = 0.0139 turtles/km of net) that fell off the net during hauling. Immediate mortality (i.e., turtles that were dead upon reaching the vessel, excluding pos</vt:lpwstr>
  </property>
  <property fmtid="{D5CDD505-2E9C-101B-9397-08002B2CF9AE}" pid="181" name="ZOTERO_BREF_QI19HcPXsWVF_38">
    <vt:lpwstr>t-release mortality) was similar among the species and accounted for 22.2 to 29.4% of turtles hauled onboard. The annual catch by this fishery ranged from 1,212 to 6,160 leatherback turtles, as estimated based on bootstrap procedures under different fishi</vt:lpwstr>
  </property>
  <property fmtid="{D5CDD505-2E9C-101B-9397-08002B2CF9AE}" pid="182" name="ZOTERO_BREF_QI19HcPXsWVF_39">
    <vt:lpwstr>ng effort scenarios in the 1990s. The present inertia in law and enforcement regarding gillnet regulations in Brazil could result in the reestablishment of the driftnet fishery, driving rates of leatherback mortality to levels similar to those observed in</vt:lpwstr>
  </property>
  <property fmtid="{D5CDD505-2E9C-101B-9397-08002B2CF9AE}" pid="183" name="ZOTERO_BREF_QI19HcPXsWVF_4">
    <vt:lpwstr>s Archipelago is surrounded by the largest and richest coral reefs in the South Atlantic and is known to be a nesting site for loggerhead turtles (Caretta caretta). In this study, we performed a multidisciplinary investigation into levels of hybridization</vt:lpwstr>
  </property>
  <property fmtid="{D5CDD505-2E9C-101B-9397-08002B2CF9AE}" pid="184" name="ZOTERO_BREF_QI19HcPXsWVF_40">
    <vt:lpwstr> previous decades. This development could potentially lead to the collapse of the South Atlantic leatherback population, mirroring the decline of the species in the Pacific. In light of these potential impacts and similar threats to other pelagic mega fau</vt:lpwstr>
  </property>
  <property fmtid="{D5CDD505-2E9C-101B-9397-08002B2CF9AE}" pid="185" name="ZOTERO_BREF_QI19HcPXsWVF_41">
    <vt:lpwstr>na, we recommend banning this type of fishery in the region.","container-title":"Biodiversity and Conservation","DOI":"10.1007/s10531-012-0227-0","ISSN":"1572-9710","issue":"4","journalAbbreviation":"Biodivers Conserv","language":"en","page":"915-931","so</vt:lpwstr>
  </property>
  <property fmtid="{D5CDD505-2E9C-101B-9397-08002B2CF9AE}" pid="186" name="ZOTERO_BREF_QI19HcPXsWVF_42">
    <vt:lpwstr>urce":"Springer Link","title":"Driftnet fishery threats sea turtles in the Atlantic Ocean","volume":"21","author":[{"family":"Fiedler","given":"Fernando N."},{"family":"Sales","given":"Gilberto"},{"family":"Giffoni","given":"Bruno B."},{"family":"Monteiro</vt:lpwstr>
  </property>
  <property fmtid="{D5CDD505-2E9C-101B-9397-08002B2CF9AE}" pid="187" name="ZOTERO_BREF_QI19HcPXsWVF_43">
    <vt:lpwstr>-Filho","given":"Emygdio L. A."},{"family":"Secchi","given":"Eduardo R."},{"family":"Bugoni","given":"Leandro"}],"issued":{"date-parts":[["2012",4,1]]},"citation-key":"fiedlerDriftnetFisheryThreats2012"}},{"id":3437,"uris":["http://zotero.org/users/851388</vt:lpwstr>
  </property>
  <property fmtid="{D5CDD505-2E9C-101B-9397-08002B2CF9AE}" pid="188" name="ZOTERO_BREF_QI19HcPXsWVF_44">
    <vt:lpwstr>4/items/CKB6L7PD"],"itemData":{"id":3437,"type":"article-journal","abstract":"In Brazil populations of marine turtles are mainly threatened by fishing, they are accidentally captured in virtually all types of fishing. The rescue of fishing folk wisdom cou</vt:lpwstr>
  </property>
  <property fmtid="{D5CDD505-2E9C-101B-9397-08002B2CF9AE}" pid="189" name="ZOTERO_BREF_QI19HcPXsWVF_45">
    <vt:lpwstr>ld help reduce these catches. The aim of this study was to discuss the interactions between fishing and sea turtles. From September 2012 to January 2014 44 fishermen and 7 gatherers were interviewed, in the southern state of Espírito Santo. Ten Questions </vt:lpwstr>
  </property>
  <property fmtid="{D5CDD505-2E9C-101B-9397-08002B2CF9AE}" pid="190" name="ZOTERO_BREF_QI19HcPXsWVF_46">
    <vt:lpwstr>to build the Index of Positive Attitudes towards the conservation of marine turtles were selected (IPA). The IPA was different between the three cities, indicating different types of interactions in the region, the highest rates were found in Guarapari an</vt:lpwstr>
  </property>
  <property fmtid="{D5CDD505-2E9C-101B-9397-08002B2CF9AE}" pid="191" name="ZOTERO_BREF_QI19HcPXsWVF_47">
    <vt:lpwstr>d smallest in Anchieta, the most important factor being the type of contact with the animal where in Guarapari most respondents were gatherers, while in Anchieta they were net fishermen. There was no significant difference between the IPA for these and fo</vt:lpwstr>
  </property>
  <property fmtid="{D5CDD505-2E9C-101B-9397-08002B2CF9AE}" pid="192" name="ZOTERO_BREF_QI19HcPXsWVF_48">
    <vt:lpwstr>r respondents who already participate in environment-related matters. To assess the impacts of bycatch, fishermen using longlines and net gear that offer high risk were considered. More than half reported that marine turtles are frequently caught in nets </vt:lpwstr>
  </property>
  <property fmtid="{D5CDD505-2E9C-101B-9397-08002B2CF9AE}" pid="193" name="ZOTERO_BREF_QI19HcPXsWVF_49">
    <vt:lpwstr>and longlines, including in some cases the animal being tapped for consumption. Policies to mitigate bycatch and quantify the impact of fishing activities become necessary in the region, as the impact of these activities is threatening the population of s</vt:lpwstr>
  </property>
  <property fmtid="{D5CDD505-2E9C-101B-9397-08002B2CF9AE}" pid="194" name="ZOTERO_BREF_QI19HcPXsWVF_5">
    <vt:lpwstr> in sea turtles and their reproductive output in the Abrolhos beaches. Genetic data from mitochondrial DNA (mtDNA) and six autosomal markers showed that there are first-generation hybrid females nesting in Abrolhos, resulting from crossings between hawksb</vt:lpwstr>
  </property>
  <property fmtid="{D5CDD505-2E9C-101B-9397-08002B2CF9AE}" pid="195" name="ZOTERO_BREF_QI19HcPXsWVF_50">
    <vt:lpwstr>ea turtles on site.","container-title":"Ocean &amp; Coastal Management","DOI":"10.1016/j.ocecoaman.2016.04.011","ISSN":"0964-5691","journalAbbreviation":"Ocean &amp; Coastal Management","page":"55-62","source":"ScienceDirect","title":"Attitudes towards conservati</vt:lpwstr>
  </property>
  <property fmtid="{D5CDD505-2E9C-101B-9397-08002B2CF9AE}" pid="196" name="ZOTERO_BREF_QI19HcPXsWVF_51">
    <vt:lpwstr>on and fishing interaction with sea turtles in the southeast coast of Brazil","volume":"127","author":[{"family":"Carvalho","given":"Robson Henrique","non-dropping-particle":"de"},{"family":"Mamede","given":"Natália"},{"family":"Bastos","given":"Ronaldo R</vt:lpwstr>
  </property>
  <property fmtid="{D5CDD505-2E9C-101B-9397-08002B2CF9AE}" pid="197" name="ZOTERO_BREF_QI19HcPXsWVF_52">
    <vt:lpwstr>ocha"},{"family":"Sousa","given":"Bernadete Maria","non-dropping-particle":"de"}],"issued":{"date-parts":[["2016",7,1]]},"citation-key":"decarvalhoAttitudesConservationFishing2016"}}],"schema":"https://github.com/citation-style-language/schema/raw/master/</vt:lpwstr>
  </property>
  <property fmtid="{D5CDD505-2E9C-101B-9397-08002B2CF9AE}" pid="198" name="ZOTERO_BREF_QI19HcPXsWVF_53">
    <vt:lpwstr>csl-citation.json"}</vt:lpwstr>
  </property>
  <property fmtid="{D5CDD505-2E9C-101B-9397-08002B2CF9AE}" pid="199" name="ZOTERO_BREF_QI19HcPXsWVF_6">
    <vt:lpwstr>ill males (Eretmochelys imbricata) and loggerhead females, and backcrossed hatchlings from both parental species. The type and extent of hybridization were characterized using genomic data obtained with the 3RAD method, which confirmed backcrossing betwee</vt:lpwstr>
  </property>
  <property fmtid="{D5CDD505-2E9C-101B-9397-08002B2CF9AE}" pid="200" name="ZOTERO_BREF_QI19HcPXsWVF_7">
    <vt:lpwstr>n F1 hybrids and loggerhead turtles. The reproductive output data of Abrolhos nests suggests a disadvantage of hybrids when compared to loggerheads. For the first time, we have shown the association between hybridization and low reproductive success, whic</vt:lpwstr>
  </property>
  <property fmtid="{D5CDD505-2E9C-101B-9397-08002B2CF9AE}" pid="201" name="ZOTERO_BREF_QI19HcPXsWVF_8">
    <vt:lpwstr>h may represent a threat to sea turtle conservation.","container-title":"Scientific Reports","DOI":"10.1038/s41598-020-69613-8","ISSN":"2045-2322","issue":"1","journalAbbreviation":"Sci Rep","language":"en","license":"2020 The Author(s)","note":"publisher</vt:lpwstr>
  </property>
  <property fmtid="{D5CDD505-2E9C-101B-9397-08002B2CF9AE}" pid="202" name="ZOTERO_BREF_QI19HcPXsWVF_9">
    <vt:lpwstr>: Nature Publishing Group","page":"12847","source":"www.nature.com","title":"Genomic evidence of recent hybridization between sea turtles at Abrolhos Archipelago and its association to low reproductive output","volume":"10","author":[{"family":"Arantes","</vt:lpwstr>
  </property>
  <property fmtid="{D5CDD505-2E9C-101B-9397-08002B2CF9AE}" pid="203" name="ZOTERO_BREF_RMCS5FAxhyQV_1">
    <vt:lpwstr>ZOTERO_ITEM CSL_CITATION {"citationID":"7y1e6Zn4","properties":{"formattedCitation":"(16)","plainCitation":"(16)","noteIndex":0},"citationItems":[{"id":3420,"uris":["http://zotero.org/users/8513884/items/I4QWNB5Y"],"itemData":{"id":3420,"type":"article-jo</vt:lpwstr>
  </property>
  <property fmtid="{D5CDD505-2E9C-101B-9397-08002B2CF9AE}" pid="204" name="ZOTERO_BREF_RMCS5FAxhyQV_10">
    <vt:lpwstr>01/gr.094052.109","ISSN":"1088-9051, 1549-5469","issue":"9","journalAbbreviation":"Genome Res.","language":"en","note":"Company: Cold Spring Harbor Laboratory Press\nDistributor: Cold Spring Harbor Laboratory Press\nInstitution: Cold Spring Harbor Laborat</vt:lpwstr>
  </property>
  <property fmtid="{D5CDD505-2E9C-101B-9397-08002B2CF9AE}" pid="205" name="ZOTERO_BREF_RMCS5FAxhyQV_11">
    <vt:lpwstr>ory Press\nLabel: Cold Spring Harbor Laboratory Press\npublisher: Cold Spring Harbor Lab\nPMID: 19648217","page":"1655-1664","source":"genome.cshlp.org","title":"Fast model-based estimation of ancestry in unrelated individuals","volume":"19","author":[{"f</vt:lpwstr>
  </property>
  <property fmtid="{D5CDD505-2E9C-101B-9397-08002B2CF9AE}" pid="206" name="ZOTERO_BREF_RMCS5FAxhyQV_12">
    <vt:lpwstr>amily":"Alexander","given":"David H."},{"family":"Novembre","given":"John"},{"family":"Lange","given":"Kenneth"}],"issued":{"date-parts":[["2009",1,9]]},"citation-key":"alexanderFastModelbasedEstimation2009"}}],"schema":"https://github.com/citation-style-</vt:lpwstr>
  </property>
  <property fmtid="{D5CDD505-2E9C-101B-9397-08002B2CF9AE}" pid="207" name="ZOTERO_BREF_RMCS5FAxhyQV_13">
    <vt:lpwstr>language/schema/raw/master/csl-citation.json"}</vt:lpwstr>
  </property>
  <property fmtid="{D5CDD505-2E9C-101B-9397-08002B2CF9AE}" pid="208" name="ZOTERO_BREF_RMCS5FAxhyQV_2">
    <vt:lpwstr>urnal","abstract":"Population stratification has long been recognized as a confounding factor in genetic association studies. Estimated ancestries, derived from multi-locus genotype data, can be used to perform a statistical correction for population stra</vt:lpwstr>
  </property>
  <property fmtid="{D5CDD505-2E9C-101B-9397-08002B2CF9AE}" pid="209" name="ZOTERO_BREF_RMCS5FAxhyQV_3">
    <vt:lpwstr>tification. One popular technique for estimation of ancestry is the model-based approach embodied by the widely applied program structure. Another approach, implemented in the program EIGENSTRAT, relies on Principal Component Analysis rather than model-ba</vt:lpwstr>
  </property>
  <property fmtid="{D5CDD505-2E9C-101B-9397-08002B2CF9AE}" pid="210" name="ZOTERO_BREF_RMCS5FAxhyQV_4">
    <vt:lpwstr>sed estimation and does not directly deliver admixture fractions. EIGENSTRAT has gained in popularity in part owing to its remarkable speed in comparison to structure. We present a new algorithm and a program, ADMIXTURE, for model-based estimation of ance</vt:lpwstr>
  </property>
  <property fmtid="{D5CDD505-2E9C-101B-9397-08002B2CF9AE}" pid="211" name="ZOTERO_BREF_RMCS5FAxhyQV_5">
    <vt:lpwstr>stry in unrelated individuals. ADMIXTURE adopts the likelihood model embedded in structure. However, ADMIXTURE runs considerably faster, solving problems in minutes that take structure hours. In many of our experiments, we have found that ADMIXTURE is alm</vt:lpwstr>
  </property>
  <property fmtid="{D5CDD505-2E9C-101B-9397-08002B2CF9AE}" pid="212" name="ZOTERO_BREF_RMCS5FAxhyQV_6">
    <vt:lpwstr>ost as fast as EIGENSTRAT. The runtime improvements of ADMIXTURE rely on a fast block relaxation scheme using sequential quadratic programming for block updates, coupled with a novel quasi-Newton acceleration of convergence. Our algorithm also runs faster</vt:lpwstr>
  </property>
  <property fmtid="{D5CDD505-2E9C-101B-9397-08002B2CF9AE}" pid="213" name="ZOTERO_BREF_RMCS5FAxhyQV_7">
    <vt:lpwstr> and with greater accuracy than the implementation of an Expectation-Maximization (EM) algorithm incorporated in the program FRAPPE. Our simulations show that ADMIXTURE's maximum likelihood estimates of the underlying admixture coefficients and ancestral </vt:lpwstr>
  </property>
  <property fmtid="{D5CDD505-2E9C-101B-9397-08002B2CF9AE}" pid="214" name="ZOTERO_BREF_RMCS5FAxhyQV_8">
    <vt:lpwstr>allele frequencies are as accurate as structure's Bayesian estimates. On real-world data sets, ADMIXTURE's estimates are directly comparable to those from structure and EIGENSTRAT. Taken together, our results show that ADMIXTURE's computational speed open</vt:lpwstr>
  </property>
  <property fmtid="{D5CDD505-2E9C-101B-9397-08002B2CF9AE}" pid="215" name="ZOTERO_BREF_RMCS5FAxhyQV_9">
    <vt:lpwstr>s up the possibility of using a much larger set of markers in model-based ancestry estimation and that its estimates are suitable for use in correcting for population stratification in association studies.","container-title":"Genome Research","DOI":"10.11</vt:lpwstr>
  </property>
  <property fmtid="{D5CDD505-2E9C-101B-9397-08002B2CF9AE}" pid="216" name="ZOTERO_BREF_RMgrycNuEBuN_1">
    <vt:lpwstr>ZOTERO_ITEM CSL_CITATION {"citationID":"KpMnB8Tq","properties":{"formattedCitation":"(1)","plainCitation":"(1)","noteIndex":0},"citationItems":[{"id":2950,"uris":["http://zotero.org/users/8513884/items/3LRGHSIM"],"itemData":{"id":2950,"type":"article","ab</vt:lpwstr>
  </property>
  <property fmtid="{D5CDD505-2E9C-101B-9397-08002B2CF9AE}" pid="217" name="ZOTERO_BREF_RMgrycNuEBuN_2">
    <vt:lpwstr>stract":"Curta is a general-purpose high-performance computer operated by the Zentral Einrichtung Datenverabeitung (ZEDAT) of Freie Universität Berlin and designed to provide enhanced computing resources for a wide range of disciplines within the universi</vt:lpwstr>
  </property>
  <property fmtid="{D5CDD505-2E9C-101B-9397-08002B2CF9AE}" pid="218" name="ZOTERO_BREF_RMgrycNuEBuN_3">
    <vt:lpwstr>ty.","DOI":"10.17169/REFUBIUM-26754","note":"dimensions: 5 S.\npage: 5 S.","publisher":"Freie Universität Berlin","source":"DOI.org (Datacite)","title":"Curta: A General-purpose High-Performance Computer at ZEDAT, Freie Universität Berlin","title-short":"</vt:lpwstr>
  </property>
  <property fmtid="{D5CDD505-2E9C-101B-9397-08002B2CF9AE}" pid="219" name="ZOTERO_BREF_RMgrycNuEBuN_4">
    <vt:lpwstr>Curta","URL":"https://refubium.fu-berlin.de/handle/fub188/26993","author":[{"family":"Bennett","given":"Loris"},{"family":"Melchers","given":"Bernd"},{"family":"Proppe","given":"Boris"}],"contributor":[{"literal":"Universitätsbibliothek Der FU Berlin"}],"</vt:lpwstr>
  </property>
  <property fmtid="{D5CDD505-2E9C-101B-9397-08002B2CF9AE}" pid="220" name="ZOTERO_BREF_RMgrycNuEBuN_5">
    <vt:lpwstr>accessed":{"date-parts":[["2025",4,4]]},"issued":{"date-parts":[["2020"]]},"citation-key":"bennettCurtaGeneralpurposeHighPerformance2020"}}],"schema":"https://github.com/citation-style-language/schema/raw/master/csl-citation.json"}</vt:lpwstr>
  </property>
  <property fmtid="{D5CDD505-2E9C-101B-9397-08002B2CF9AE}" pid="221" name="ZOTERO_BREF_SOTcwrtn2Ryt_1">
    <vt:lpwstr>ZOTERO_ITEM CSL_CITATION {"citationID":"YVpjTANf","properties":{"formattedCitation":"(11)","plainCitation":"(11)","noteIndex":0},"citationItems":[{"id":3398,"uris":["http://zotero.org/users/8513884/items/D44IQS7G"],"itemData":{"id":3398,"type":"article-jo</vt:lpwstr>
  </property>
  <property fmtid="{D5CDD505-2E9C-101B-9397-08002B2CF9AE}" pid="222" name="ZOTERO_BREF_SOTcwrtn2Ryt_10">
    <vt:lpwstr>y":"Tellier","given":"Laurent CAM"},{"family":"Vattikuti","given":"Shashaank"},{"family":"Purcell","given":"Shaun M"},{"family":"Lee","given":"James J"}],"issued":{"date-parts":[["2015",12,1]]},"citation-key":"changSecondgenerationPLINKRising2015"}}],"sch</vt:lpwstr>
  </property>
  <property fmtid="{D5CDD505-2E9C-101B-9397-08002B2CF9AE}" pid="223" name="ZOTERO_BREF_SOTcwrtn2Ryt_11">
    <vt:lpwstr>ema":"https://github.com/citation-style-language/schema/raw/master/csl-citation.json"}</vt:lpwstr>
  </property>
  <property fmtid="{D5CDD505-2E9C-101B-9397-08002B2CF9AE}" pid="224" name="ZOTERO_BREF_SOTcwrtn2Ryt_2">
    <vt:lpwstr>urnal","abstract":"PLINK 1 is a widely used open-source C/C++ toolset for genome-wide association studies (GWAS) and research in population genetics. However, the steady accumulation of data from imputation and whole-genome sequencing studies has exposed </vt:lpwstr>
  </property>
  <property fmtid="{D5CDD505-2E9C-101B-9397-08002B2CF9AE}" pid="225" name="ZOTERO_BREF_SOTcwrtn2Ryt_3">
    <vt:lpwstr>a strong need for faster and scalable implementations of key functions, such as logistic regression, linkage disequilibrium estimation, and genomic distance evaluation. In addition, GWAS and population-genetic data now frequently contain genotype likeliho</vt:lpwstr>
  </property>
  <property fmtid="{D5CDD505-2E9C-101B-9397-08002B2CF9AE}" pid="226" name="ZOTERO_BREF_SOTcwrtn2Ryt_4">
    <vt:lpwstr>ods, phase information, and/or multiallelic variants, none of which can be represented by PLINK 1's primary data format.To address these issues, we are developing a second-generation codebase for PLINK. The first major release from this codebase, PLINK 1.</vt:lpwstr>
  </property>
  <property fmtid="{D5CDD505-2E9C-101B-9397-08002B2CF9AE}" pid="227" name="ZOTERO_BREF_SOTcwrtn2Ryt_5">
    <vt:lpwstr>9, introduces extensive use of bit-level parallelism, (n)-time/constant-space Hardy-Weinberg equilibrium and Fisher's exact tests, and many other algorithmic improvements. In combination, these changes accelerate most operations by 1-4 orders of magnitude</vt:lpwstr>
  </property>
  <property fmtid="{D5CDD505-2E9C-101B-9397-08002B2CF9AE}" pid="228" name="ZOTERO_BREF_SOTcwrtn2Ryt_6">
    <vt:lpwstr>, and allow the program to handle datasets too large to fit in RAM. We have also developed an extension to the data format which adds low-overhead support for genotype likelihoods, phase, multiallelic variants, and reference vs. alternate alleles, which i</vt:lpwstr>
  </property>
  <property fmtid="{D5CDD505-2E9C-101B-9397-08002B2CF9AE}" pid="229" name="ZOTERO_BREF_SOTcwrtn2Ryt_7">
    <vt:lpwstr>s the basis of our planned second release (PLINK 2.0).The second-generation versions of PLINK will offer dramatic improvements in performance and compatibility. For the first time, users without access to high-end computing resources can perform several e</vt:lpwstr>
  </property>
  <property fmtid="{D5CDD505-2E9C-101B-9397-08002B2CF9AE}" pid="230" name="ZOTERO_BREF_SOTcwrtn2Ryt_8">
    <vt:lpwstr>ssential analyses of the feature-rich and very large genetic datasets coming into use.","container-title":"GigaScience","DOI":"10.1186/s13742-015-0047-8","ISSN":"2047-217X","issue":"1","journalAbbreviation":"GigaScience","page":"s13742-015-0047-8","source</vt:lpwstr>
  </property>
  <property fmtid="{D5CDD505-2E9C-101B-9397-08002B2CF9AE}" pid="231" name="ZOTERO_BREF_SOTcwrtn2Ryt_9">
    <vt:lpwstr>":"Silverchair","title":"Second-generation PLINK: rising to the challenge of larger and richer datasets","title-short":"Second-generation PLINK","volume":"4","author":[{"family":"Chang","given":"Christopher C"},{"family":"Chow","given":"Carson C"},{"famil</vt:lpwstr>
  </property>
  <property fmtid="{D5CDD505-2E9C-101B-9397-08002B2CF9AE}" pid="232" name="ZOTERO_BREF_SRisSYXkb8AN_1">
    <vt:lpwstr>ZOTERO_ITEM CSL_CITATION {"citationID":"LpSs1Ao8","properties":{"formattedCitation":"(13)","plainCitation":"(13)","noteIndex":0},"citationItems":[{"id":8,"uris":["http://zotero.org/users/8513884/items/4NPMLTCK"],"itemData":{"id":8,"type":"article-journal"</vt:lpwstr>
  </property>
  <property fmtid="{D5CDD505-2E9C-101B-9397-08002B2CF9AE}" pid="233" name="ZOTERO_BREF_SRisSYXkb8AN_2">
    <vt:lpwstr>,"abstract":"High-throughput DNA sequencing technologies are generating vast amounts of data. Fast, flexible and memory efficient implementations are needed in order to facilitate analyses of thousands of samples simultaneously. We present a multithreaded</vt:lpwstr>
  </property>
  <property fmtid="{D5CDD505-2E9C-101B-9397-08002B2CF9AE}" pid="234" name="ZOTERO_BREF_SRisSYXkb8AN_3">
    <vt:lpwstr> program suite called ANGSD. This program can calculate various summary statistics, and perform association mapping and population genetic analyses utilizing the full information in next generation sequencing data by working directly on the raw sequencing</vt:lpwstr>
  </property>
  <property fmtid="{D5CDD505-2E9C-101B-9397-08002B2CF9AE}" pid="235" name="ZOTERO_BREF_SRisSYXkb8AN_4">
    <vt:lpwstr> data or by using genotype likelihoods. The open source c/c++ program ANGSD is available at http://www.popgen.dk/angsd . The program is tested and validated on GNU/Linux systems. The program facilitates multiple input formats including BAM and imputed bea</vt:lpwstr>
  </property>
  <property fmtid="{D5CDD505-2E9C-101B-9397-08002B2CF9AE}" pid="236" name="ZOTERO_BREF_SRisSYXkb8AN_5">
    <vt:lpwstr>gle genotype probability files. The program allow the user to choose between combinations of existing methods and can perform analysis that is not implemented elsewhere.","container-title":"BMC Bioinformatics","DOI":"10.1186/s12859-014-0356-4","ISSN":"147</vt:lpwstr>
  </property>
  <property fmtid="{D5CDD505-2E9C-101B-9397-08002B2CF9AE}" pid="237" name="ZOTERO_BREF_SRisSYXkb8AN_6">
    <vt:lpwstr>1-2105","issue":"1","journalAbbreviation":"BMC Bioinformatics","language":"en","license":"2014 Korneliussen et al.; licensee BioMed Central Ltd.","note":"number: 1\npublisher: BioMed Central","page":"1-13","source":"bmcbioinformatics.biomedcentral.com","t</vt:lpwstr>
  </property>
  <property fmtid="{D5CDD505-2E9C-101B-9397-08002B2CF9AE}" pid="238" name="ZOTERO_BREF_SRisSYXkb8AN_7">
    <vt:lpwstr>itle":"ANGSD: Analysis of Next Generation Sequencing Data","title-short":"ANGSD","volume":"15","author":[{"family":"Korneliussen","given":"Thorfinn Sand"},{"family":"Albrechtsen","given":"Anders"},{"family":"Nielsen","given":"Rasmus"}],"issued":{"date-par</vt:lpwstr>
  </property>
  <property fmtid="{D5CDD505-2E9C-101B-9397-08002B2CF9AE}" pid="239" name="ZOTERO_BREF_SRisSYXkb8AN_8">
    <vt:lpwstr>ts":[["2014",12]]},"citation-key":"korneliussenANGSDAnalysisNext2014"}}],"schema":"https://github.com/citation-style-language/schema/raw/master/csl-citation.json"}</vt:lpwstr>
  </property>
  <property fmtid="{D5CDD505-2E9C-101B-9397-08002B2CF9AE}" pid="240" name="ZOTERO_BREF_TaGSZDvX4A4f_1">
    <vt:lpwstr/>
  </property>
  <property fmtid="{D5CDD505-2E9C-101B-9397-08002B2CF9AE}" pid="241" name="ZOTERO_BREF_W6NudCNEPDaz_1">
    <vt:lpwstr>ZOTERO_ITEM CSL_CITATION {"citationID":"C2y4ZNqE","properties":{"formattedCitation":"(12)","plainCitation":"(12)","noteIndex":0},"citationItems":[{"id":3401,"uris":["http://zotero.org/users/8513884/items/Z46RFXFB"],"itemData":{"id":3401,"type":"article-jo</vt:lpwstr>
  </property>
  <property fmtid="{D5CDD505-2E9C-101B-9397-08002B2CF9AE}" pid="242" name="ZOTERO_BREF_W6NudCNEPDaz_2">
    <vt:lpwstr>urnal","abstract":"Summary: The variant call format (VCF) is a generic format for storing DNA polymorphism data such as SNPs, insertions, deletions and structural variants, together with rich annotations. VCF is usually stored in a compressed manner and c</vt:lpwstr>
  </property>
  <property fmtid="{D5CDD505-2E9C-101B-9397-08002B2CF9AE}" pid="243" name="ZOTERO_BREF_W6NudCNEPDaz_3">
    <vt:lpwstr>an be indexed for fast data retrieval of variants from a range of positions on the reference genome. The format was developed for the 1000 Genomes Project, and has also been adopted by other projects such as UK10K, dbSNP and the NHLBI Exome Project. VCFto</vt:lpwstr>
  </property>
  <property fmtid="{D5CDD505-2E9C-101B-9397-08002B2CF9AE}" pid="244" name="ZOTERO_BREF_W6NudCNEPDaz_4">
    <vt:lpwstr>ols is a software suite that implements various utilities for processing VCF files, including validation, merging, comparing and also provides a general Perl API.Availability:  http://vcftools.sourceforge.netContact:  rd@sanger.ac.uk","container-title":"B</vt:lpwstr>
  </property>
  <property fmtid="{D5CDD505-2E9C-101B-9397-08002B2CF9AE}" pid="245" name="ZOTERO_BREF_W6NudCNEPDaz_5">
    <vt:lpwstr>ioinformatics","DOI":"10.1093/bioinformatics/btr330","ISSN":"1367-4803","issue":"15","journalAbbreviation":"Bioinformatics","page":"2156-2158","source":"Silverchair","title":"The variant call format and VCFtools","volume":"27","author":[{"family":"Danecek</vt:lpwstr>
  </property>
  <property fmtid="{D5CDD505-2E9C-101B-9397-08002B2CF9AE}" pid="246" name="ZOTERO_BREF_W6NudCNEPDaz_6">
    <vt:lpwstr>","given":"Petr"},{"family":"Auton","given":"Adam"},{"family":"Abecasis","given":"Goncalo"},{"family":"Albers","given":"Cornelis A."},{"family":"Banks","given":"Eric"},{"family":"DePristo","given":"Mark A."},{"family":"Handsaker","given":"Robert E."},{"fa</vt:lpwstr>
  </property>
  <property fmtid="{D5CDD505-2E9C-101B-9397-08002B2CF9AE}" pid="247" name="ZOTERO_BREF_W6NudCNEPDaz_7">
    <vt:lpwstr>mily":"Lunter","given":"Gerton"},{"family":"Marth","given":"Gabor T."},{"family":"Sherry","given":"Stephen T."},{"family":"McVean","given":"Gilean"},{"family":"Durbin","given":"Richard"},{"literal":"1000 Genomes Project Analysis Group"}],"issued":{"date-p</vt:lpwstr>
  </property>
  <property fmtid="{D5CDD505-2E9C-101B-9397-08002B2CF9AE}" pid="248" name="ZOTERO_BREF_W6NudCNEPDaz_8">
    <vt:lpwstr>arts":[["2011",8,1]]},"citation-key":"danecekVariantCallFormat2011"}}],"schema":"https://github.com/citation-style-language/schema/raw/master/csl-citation.json"}</vt:lpwstr>
  </property>
  <property fmtid="{D5CDD505-2E9C-101B-9397-08002B2CF9AE}" pid="249" name="ZOTERO_BREF_WSVmvqH6uTA9_1">
    <vt:lpwstr>ZOTERO_ITEM CSL_CITATION {"citationID":"pxdT85Ea","properties":{"formattedCitation":"(19)","plainCitation":"(19)","noteIndex":0},"citationItems":[{"id":352,"uris":["http://zotero.org/users/8513884/items/6ETG5QPQ"],"itemData":{"id":352,"type":"software","e</vt:lpwstr>
  </property>
  <property fmtid="{D5CDD505-2E9C-101B-9397-08002B2CF9AE}" pid="250" name="ZOTERO_BREF_WSVmvqH6uTA9_2">
    <vt:lpwstr>vent-place":"Vienna, Austria","publisher":"R Foundation for Statistical Computing","publisher-place":"Vienna, Austria","title":"R: A Language and Environment for Statistical Computing","URL":"https://www.R-project.org/","author":[{"literal":"R Core Team"}</vt:lpwstr>
  </property>
  <property fmtid="{D5CDD505-2E9C-101B-9397-08002B2CF9AE}" pid="251" name="ZOTERO_BREF_WSVmvqH6uTA9_3">
    <vt:lpwstr>],"issued":{"date-parts":[["2021"]]},"citation-key":"rcoreteamLanguageEnvironmentStatistical2021"}}],"schema":"https://github.com/citation-style-language/schema/raw/master/csl-citation.json"}</vt:lpwstr>
  </property>
  <property fmtid="{D5CDD505-2E9C-101B-9397-08002B2CF9AE}" pid="252" name="ZOTERO_BREF_ZvqszonkKnYW_1">
    <vt:lpwstr>ZOTERO_ITEM CSL_CITATION {"citationID":"xDaWuVho","properties":{"formattedCitation":"(9)","plainCitation":"(9)","noteIndex":0},"citationItems":[{"id":2975,"uris":["http://zotero.org/users/8513884/items/IXTCKC8C"],"itemData":{"id":2975,"type":"paper-confer</vt:lpwstr>
  </property>
  <property fmtid="{D5CDD505-2E9C-101B-9397-08002B2CF9AE}" pid="253" name="ZOTERO_BREF_ZvqszonkKnYW_2">
    <vt:lpwstr>ence","container-title":"2019 IEEE International Parallel and Distributed Processing Symposium (IPDPS)","DOI":"10.1109/IPDPS.2019.00041","event-place":"Rio de Janeiro, Brazil","event-title":"2019 IEEE International Parallel and Distributed Processing Symp</vt:lpwstr>
  </property>
  <property fmtid="{D5CDD505-2E9C-101B-9397-08002B2CF9AE}" pid="254" name="ZOTERO_BREF_ZvqszonkKnYW_3">
    <vt:lpwstr>osium (IPDPS)","ISBN":"978-1-7281-1246-6","license":"https://ieeexplore.ieee.org/Xplorehelp/downloads/license-information/IEEE.html","page":"314-324","publisher":"IEEE","publisher-place":"Rio de Janeiro, Brazil","source":"DOI.org (Crossref)","title":"Effi</vt:lpwstr>
  </property>
  <property fmtid="{D5CDD505-2E9C-101B-9397-08002B2CF9AE}" pid="255" name="ZOTERO_BREF_ZvqszonkKnYW_4">
    <vt:lpwstr>cient Architecture-Aware Acceleration of BWA-MEM for Multicore Systems","URL":"https://ieeexplore.ieee.org/document/8820962/","author":[{"family":"Vasimuddin","given":"Md."},{"family":"Misra","given":"Sanchit"},{"family":"Li","given":"Heng"},{"family":"Al</vt:lpwstr>
  </property>
  <property fmtid="{D5CDD505-2E9C-101B-9397-08002B2CF9AE}" pid="256" name="ZOTERO_BREF_ZvqszonkKnYW_5">
    <vt:lpwstr>uru","given":"Srinivas"}],"accessed":{"date-parts":[["2025",4,5]]},"issued":{"date-parts":[["2019",5]]},"citation-key":"vasimuddinEfficientArchitectureAwareAcceleration2019"}}],"schema":"https://github.com/citation-style-language/schema/raw/master/csl-cit</vt:lpwstr>
  </property>
  <property fmtid="{D5CDD505-2E9C-101B-9397-08002B2CF9AE}" pid="257" name="ZOTERO_BREF_ZvqszonkKnYW_6">
    <vt:lpwstr>ation.json"}</vt:lpwstr>
  </property>
  <property fmtid="{D5CDD505-2E9C-101B-9397-08002B2CF9AE}" pid="258" name="ZOTERO_BREF_bMScJhuR8q1x_1">
    <vt:lpwstr>ZOTERO_ITEM CSL_CITATION {"citationID":"u1qfPHQG","properties":{"formattedCitation":"(13)","plainCitation":"(13)","noteIndex":0},"citationItems":[{"id":8,"uris":["http://zotero.org/users/8513884/items/4NPMLTCK"],"itemData":{"id":8,"type":"article-journal"</vt:lpwstr>
  </property>
  <property fmtid="{D5CDD505-2E9C-101B-9397-08002B2CF9AE}" pid="259" name="ZOTERO_BREF_bMScJhuR8q1x_2">
    <vt:lpwstr>,"abstract":"High-throughput DNA sequencing technologies are generating vast amounts of data. Fast, flexible and memory efficient implementations are needed in order to facilitate analyses of thousands of samples simultaneously. We present a multithreaded</vt:lpwstr>
  </property>
  <property fmtid="{D5CDD505-2E9C-101B-9397-08002B2CF9AE}" pid="260" name="ZOTERO_BREF_bMScJhuR8q1x_3">
    <vt:lpwstr> program suite called ANGSD. This program can calculate various summary statistics, and perform association mapping and population genetic analyses utilizing the full information in next generation sequencing data by working directly on the raw sequencing</vt:lpwstr>
  </property>
  <property fmtid="{D5CDD505-2E9C-101B-9397-08002B2CF9AE}" pid="261" name="ZOTERO_BREF_bMScJhuR8q1x_4">
    <vt:lpwstr> data or by using genotype likelihoods. The open source c/c++ program ANGSD is available at http://www.popgen.dk/angsd . The program is tested and validated on GNU/Linux systems. The program facilitates multiple input formats including BAM and imputed bea</vt:lpwstr>
  </property>
  <property fmtid="{D5CDD505-2E9C-101B-9397-08002B2CF9AE}" pid="262" name="ZOTERO_BREF_bMScJhuR8q1x_5">
    <vt:lpwstr>gle genotype probability files. The program allow the user to choose between combinations of existing methods and can perform analysis that is not implemented elsewhere.","container-title":"BMC Bioinformatics","DOI":"10.1186/s12859-014-0356-4","ISSN":"147</vt:lpwstr>
  </property>
  <property fmtid="{D5CDD505-2E9C-101B-9397-08002B2CF9AE}" pid="263" name="ZOTERO_BREF_bMScJhuR8q1x_6">
    <vt:lpwstr>1-2105","issue":"1","journalAbbreviation":"BMC Bioinformatics","language":"en","license":"2014 Korneliussen et al.; licensee BioMed Central Ltd.","note":"number: 1\npublisher: BioMed Central","page":"1-13","source":"bmcbioinformatics.biomedcentral.com","t</vt:lpwstr>
  </property>
  <property fmtid="{D5CDD505-2E9C-101B-9397-08002B2CF9AE}" pid="264" name="ZOTERO_BREF_bMScJhuR8q1x_7">
    <vt:lpwstr>itle":"ANGSD: Analysis of Next Generation Sequencing Data","title-short":"ANGSD","volume":"15","author":[{"family":"Korneliussen","given":"Thorfinn Sand"},{"family":"Albrechtsen","given":"Anders"},{"family":"Nielsen","given":"Rasmus"}],"issued":{"date-par</vt:lpwstr>
  </property>
  <property fmtid="{D5CDD505-2E9C-101B-9397-08002B2CF9AE}" pid="265" name="ZOTERO_BREF_bMScJhuR8q1x_8">
    <vt:lpwstr>ts":[["2014",12]]},"citation-key":"korneliussenANGSDAnalysisNext2014"}}],"schema":"https://github.com/citation-style-language/schema/raw/master/csl-citation.json"}</vt:lpwstr>
  </property>
  <property fmtid="{D5CDD505-2E9C-101B-9397-08002B2CF9AE}" pid="266" name="ZOTERO_BREF_caXrF6WS06oL_1">
    <vt:lpwstr>ZOTERO_ITEM CSL_CITATION {"citationID":"d0p0djpP","properties":{"formattedCitation":"(10)","plainCitation":"(10)","noteIndex":0},"citationItems":[{"id":2978,"uris":["http://zotero.org/users/8513884/items/VRTEWNTQ"],"itemData":{"id":2978,"type":"article-jo</vt:lpwstr>
  </property>
  <property fmtid="{D5CDD505-2E9C-101B-9397-08002B2CF9AE}" pid="267" name="ZOTERO_BREF_caXrF6WS06oL_2">
    <vt:lpwstr>urnal","abstract":"Abstract\n            \n              Background\n              SAMtools and BCFtools are widely used programs for processing and analysing high-throughput sequencing data. They include tools for file format conversion and manipulation,</vt:lpwstr>
  </property>
  <property fmtid="{D5CDD505-2E9C-101B-9397-08002B2CF9AE}" pid="268" name="ZOTERO_BREF_caXrF6WS06oL_3">
    <vt:lpwstr> sorting, querying, statistics, variant calling, and effect analysis amongst other methods.\n            \n            \n              Findings\n              The first version appeared online 12 years ago and has been maintained and further developed eve</vt:lpwstr>
  </property>
  <property fmtid="{D5CDD505-2E9C-101B-9397-08002B2CF9AE}" pid="269" name="ZOTERO_BREF_caXrF6WS06oL_4">
    <vt:lpwstr>r since, with many new features and improvements added over the years. The SAMtools and BCFtools packages represent a unique collection of tools that have been used in numerous other software projects and countless genomic pipelines.\n            \n      </vt:lpwstr>
  </property>
  <property fmtid="{D5CDD505-2E9C-101B-9397-08002B2CF9AE}" pid="270" name="ZOTERO_BREF_caXrF6WS06oL_5">
    <vt:lpwstr>      \n              Conclusion\n              Both SAMtools and BCFtools are freely available on GitHub under the permissive MIT licence, free for both non-commercial and commercial use. Both packages have been installed &amp;gt;1 million times via Bioconda</vt:lpwstr>
  </property>
  <property fmtid="{D5CDD505-2E9C-101B-9397-08002B2CF9AE}" pid="271" name="ZOTERO_BREF_caXrF6WS06oL_6">
    <vt:lpwstr>. The source code and documentation are available from https://www.htslib.org.","container-title":"GigaScience","DOI":"10.1093/gigascience/giab008","ISSN":"2047-217X","issue":"2","language":"en","license":"http://creativecommons.org/licenses/by/4.0/","pag</vt:lpwstr>
  </property>
  <property fmtid="{D5CDD505-2E9C-101B-9397-08002B2CF9AE}" pid="272" name="ZOTERO_BREF_caXrF6WS06oL_7">
    <vt:lpwstr>e":"giab008","source":"DOI.org (Crossref)","title":"Twelve years of SAMtools and BCFtools","volume":"10","author":[{"family":"Danecek","given":"Petr"},{"family":"Bonfield","given":"James K"},{"family":"Liddle","given":"Jennifer"},{"family":"Marshall","giv</vt:lpwstr>
  </property>
  <property fmtid="{D5CDD505-2E9C-101B-9397-08002B2CF9AE}" pid="273" name="ZOTERO_BREF_caXrF6WS06oL_8">
    <vt:lpwstr>en":"John"},{"family":"Ohan","given":"Valeriu"},{"family":"Pollard","given":"Martin O"},{"family":"Whitwham","given":"Andrew"},{"family":"Keane","given":"Thomas"},{"family":"McCarthy","given":"Shane A"},{"family":"Davies","given":"Robert M"},{"family":"Li</vt:lpwstr>
  </property>
  <property fmtid="{D5CDD505-2E9C-101B-9397-08002B2CF9AE}" pid="274" name="ZOTERO_BREF_caXrF6WS06oL_9">
    <vt:lpwstr>","given":"Heng"}],"issued":{"date-parts":[["2021",1,29]]},"citation-key":"danecekTwelveYearsSAMtools2021"}}],"schema":"https://github.com/citation-style-language/schema/raw/master/csl-citation.json"}</vt:lpwstr>
  </property>
  <property fmtid="{D5CDD505-2E9C-101B-9397-08002B2CF9AE}" pid="275" name="ZOTERO_BREF_jAiBItgC6mHr_1">
    <vt:lpwstr>ZOTERO_ITEM CSL_CITATION {"citationID":"iT4gPnvu","properties":{"formattedCitation":"(22)","plainCitation":"(22)","noteIndex":0},"citationItems":[{"id":3435,"uris":["http://zotero.org/users/8513884/items/VGJ4Q6P5"],"itemData":{"id":3435,"type":"report","g</vt:lpwstr>
  </property>
  <property fmtid="{D5CDD505-2E9C-101B-9397-08002B2CF9AE}" pid="276" name="ZOTERO_BREF_jAiBItgC6mHr_2">
    <vt:lpwstr>enre":"manual","title":"paletteer: Comprehensive collection of color palettes","URL":"https://github.com/EmilHvitfeldt/paletteer","author":[{"family":"Hvitfeldt","given":"Emil"}],"issued":{"date-parts":[["2021"]]},"citation-key":"hvitfeldtPaletteerCompreh</vt:lpwstr>
  </property>
  <property fmtid="{D5CDD505-2E9C-101B-9397-08002B2CF9AE}" pid="277" name="ZOTERO_BREF_jAiBItgC6mHr_3">
    <vt:lpwstr>ensiveCollection2021"}}],"schema":"https://github.com/citation-style-language/schema/raw/master/csl-citation.json"}</vt:lpwstr>
  </property>
  <property fmtid="{D5CDD505-2E9C-101B-9397-08002B2CF9AE}" pid="278" name="ZOTERO_BREF_k6R4zeFWJo0e_1">
    <vt:lpwstr>ZOTERO_ITEM CSL_CITATION {"citationID":"M8v3ZaEX","properties":{"formattedCitation":"(2, 3)","plainCitation":"(2, 3)","noteIndex":0},"citationItems":[{"id":69,"uris":["http://zotero.org/users/8513884/items/9F9W57ED"],"itemData":{"id":69,"type":"article-jo</vt:lpwstr>
  </property>
  <property fmtid="{D5CDD505-2E9C-101B-9397-08002B2CF9AE}" pid="279" name="ZOTERO_BREF_k6R4zeFWJo0e_10">
    <vt:lpwstr>uza"},{"family":"Ferreira","given":"Lucas Cabral Lage"},{"family":"Driller","given":"Maximilian"},{"family":"Repinaldo Filho","given":"Fernando Pedro Marinho"},{"family":"Mazzoni","given":"Camila Junqueira"},{"family":"Santos","given":"Fabrício Rodrigues"</vt:lpwstr>
  </property>
  <property fmtid="{D5CDD505-2E9C-101B-9397-08002B2CF9AE}" pid="280" name="ZOTERO_BREF_k6R4zeFWJo0e_11">
    <vt:lpwstr>}],"issued":{"date-parts":[["2020",7,30]]},"citation-key":"arantesGenomicEvidenceRecent2020"}},{"id":9,"uris":["http://zotero.org/users/8513884/items/EVEA6U8W"],"itemData":{"id":9,"type":"article-journal","abstract":"Abstract\n            \n              </vt:lpwstr>
  </property>
  <property fmtid="{D5CDD505-2E9C-101B-9397-08002B2CF9AE}" pid="281" name="ZOTERO_BREF_k6R4zeFWJo0e_12">
    <vt:lpwstr>Hybridization is known to be part of many species' evolutionary history. Sea turtles have a fascinating hybridization system in which species separated by as much as 43 million years are still capable of hybridizing. Indeed, the largest nesting population</vt:lpwstr>
  </property>
  <property fmtid="{D5CDD505-2E9C-101B-9397-08002B2CF9AE}" pid="282" name="ZOTERO_BREF_k6R4zeFWJo0e_13">
    <vt:lpwstr>s in Brazil of loggerheads (\n              Caretta caretta\n              ) and hawksbills (\n              Eretmochelys imbricata\n              ) have a high incidence of hybrids between these two species. A third species, olive ridleys (\n            </vt:lpwstr>
  </property>
  <property fmtid="{D5CDD505-2E9C-101B-9397-08002B2CF9AE}" pid="283" name="ZOTERO_BREF_k6R4zeFWJo0e_14">
    <vt:lpwstr>  Lepidochelys olivacea\n              ), is also known to hybridize although at a smaller scale. Here, we used restriction site‐associated DNA sequencing (RAD‐Seq) markers, mitogenomes, and satellite‐telemetry to investigate the patterns of hybridization</vt:lpwstr>
  </property>
  <property fmtid="{D5CDD505-2E9C-101B-9397-08002B2CF9AE}" pid="284" name="ZOTERO_BREF_k6R4zeFWJo0e_15">
    <vt:lpwstr> and introgression in the Brazilian sea turtle population and their relationship with the migratory behaviours between feeding and nesting aggregations. We also explicitly test if the mixing of two divergent genomes in sea turtle hybrids causes mitochondr</vt:lpwstr>
  </property>
  <property fmtid="{D5CDD505-2E9C-101B-9397-08002B2CF9AE}" pid="285" name="ZOTERO_BREF_k6R4zeFWJo0e_16">
    <vt:lpwstr>ial paternal leakage. We developed a new species‐specific PCR‐assay capable of detecting mitochondrial DNA (mtDNA) inheritance from both parental species and performed ultra‐deep sequencing to estimate the abundance of each mtDNA type. Our results show th</vt:lpwstr>
  </property>
  <property fmtid="{D5CDD505-2E9C-101B-9397-08002B2CF9AE}" pid="286" name="ZOTERO_BREF_k6R4zeFWJo0e_17">
    <vt:lpwstr>at all adult hybrids are first generation (F1) and most display a loggerhead migratory behaviour. We detected paternal leakage in F1 hybrids and different proportions of mitochondria from maternal and paternal species. Although previous studies showed no </vt:lpwstr>
  </property>
  <property fmtid="{D5CDD505-2E9C-101B-9397-08002B2CF9AE}" pid="287" name="ZOTERO_BREF_k6R4zeFWJo0e_18">
    <vt:lpwstr>significant fitness decrease in hatchlings, our results support genetically‐related hybrid breakdown possibly caused by cytonuclear incompatibility. Further research on hybrids from other populations in addition to Brazil and between different species wil</vt:lpwstr>
  </property>
  <property fmtid="{D5CDD505-2E9C-101B-9397-08002B2CF9AE}" pid="288" name="ZOTERO_BREF_k6R4zeFWJo0e_19">
    <vt:lpwstr>l show if backcross inviability and mitochondrial paternal leakage is observed across sea turtle species.","container-title":"Molecular Ecology","DOI":"10.1111/mec.16773","ISSN":"0962-1083, 1365-294X","issue":"3","journalAbbreviation":"Molecular Ecology",</vt:lpwstr>
  </property>
  <property fmtid="{D5CDD505-2E9C-101B-9397-08002B2CF9AE}" pid="289" name="ZOTERO_BREF_k6R4zeFWJo0e_2">
    <vt:lpwstr>urnal","abstract":"Hybridization between sea turtle species occurs with particularly high frequency at two adjacent nesting areas in northeastern Brazil. To understand the outcomes of hybridization and their consequences for sea turtle conservation, we ne</vt:lpwstr>
  </property>
  <property fmtid="{D5CDD505-2E9C-101B-9397-08002B2CF9AE}" pid="290" name="ZOTERO_BREF_k6R4zeFWJo0e_20">
    <vt:lpwstr>"language":"en","page":"628-643","source":"DOI.org (Crossref)","title":"Evidence of backcross inviability and mitochondrial &lt;span style=\"font-variant:small-caps;\"&gt;DNA&lt;/span&gt; paternal leakage in sea turtle hybrids","title-short":"Evidence of backcross in</vt:lpwstr>
  </property>
  <property fmtid="{D5CDD505-2E9C-101B-9397-08002B2CF9AE}" pid="291" name="ZOTERO_BREF_k6R4zeFWJo0e_21">
    <vt:lpwstr>viability and mitochondrial &lt;span style=\"font-variant","volume":"32","author":[{"family":"Vilaça","given":"Sibelle T."},{"family":"Maroso","given":"Francesco"},{"family":"Lara","given":"Paulo"},{"family":"De Thoisy","given":"Benoit"},{"family":"Chevallie</vt:lpwstr>
  </property>
  <property fmtid="{D5CDD505-2E9C-101B-9397-08002B2CF9AE}" pid="292" name="ZOTERO_BREF_k6R4zeFWJo0e_22">
    <vt:lpwstr>r","given":"Damien"},{"family":"Arantes","given":"Larissa Souza"},{"family":"Santos","given":"Fabricio R."},{"family":"Bertorelle","given":"Giorgio"},{"family":"Mazzoni","given":"Camila J."}],"issued":{"date-parts":[["2023",2]]},"citation-key":"vilacaEvid</vt:lpwstr>
  </property>
  <property fmtid="{D5CDD505-2E9C-101B-9397-08002B2CF9AE}" pid="293" name="ZOTERO_BREF_k6R4zeFWJo0e_23">
    <vt:lpwstr>enceBackcrossInviability2023"}}],"schema":"https://github.com/citation-style-language/schema/raw/master/csl-citation.json"}</vt:lpwstr>
  </property>
  <property fmtid="{D5CDD505-2E9C-101B-9397-08002B2CF9AE}" pid="294" name="ZOTERO_BREF_k6R4zeFWJo0e_3">
    <vt:lpwstr>ed to evaluate the extent of hybridization occurrence and possible deleterious effects in the hybrid progeny. Thus, we investigated the hypothesis of the existence of a new hybrid spot offshore of Brazil’s northeastern coast. The Abrolhos Archipelago is s</vt:lpwstr>
  </property>
  <property fmtid="{D5CDD505-2E9C-101B-9397-08002B2CF9AE}" pid="295" name="ZOTERO_BREF_k6R4zeFWJo0e_4">
    <vt:lpwstr>urrounded by the largest and richest coral reefs in the South Atlantic and is known to be a nesting site for loggerhead turtles (Caretta caretta). In this study, we performed a multidisciplinary investigation into levels of hybridization in sea turtles an</vt:lpwstr>
  </property>
  <property fmtid="{D5CDD505-2E9C-101B-9397-08002B2CF9AE}" pid="296" name="ZOTERO_BREF_k6R4zeFWJo0e_5">
    <vt:lpwstr>d their reproductive output in the Abrolhos beaches. Genetic data from mitochondrial DNA (mtDNA) and six autosomal markers showed that there are first-generation hybrid females nesting in Abrolhos, resulting from crossings between hawksbill males (Eretmoc</vt:lpwstr>
  </property>
  <property fmtid="{D5CDD505-2E9C-101B-9397-08002B2CF9AE}" pid="297" name="ZOTERO_BREF_k6R4zeFWJo0e_6">
    <vt:lpwstr>helys imbricata) and loggerhead females, and backcrossed hatchlings from both parental species. The type and extent of hybridization were characterized using genomic data obtained with the 3RAD method, which confirmed backcrossing between F1 hybrids and l</vt:lpwstr>
  </property>
  <property fmtid="{D5CDD505-2E9C-101B-9397-08002B2CF9AE}" pid="298" name="ZOTERO_BREF_k6R4zeFWJo0e_7">
    <vt:lpwstr>oggerhead turtles. The reproductive output data of Abrolhos nests suggests a disadvantage of hybrids when compared to loggerheads. For the first time, we have shown the association between hybridization and low reproductive success, which may represent a </vt:lpwstr>
  </property>
  <property fmtid="{D5CDD505-2E9C-101B-9397-08002B2CF9AE}" pid="299" name="ZOTERO_BREF_k6R4zeFWJo0e_8">
    <vt:lpwstr>threat to sea turtle conservation.","container-title":"Scientific Reports","DOI":"10.1038/s41598-020-69613-8","ISSN":"2045-2322","issue":"1","journalAbbreviation":"Sci Rep","language":"en","license":"2020 The Author(s)","note":"publisher: Nature Publishin</vt:lpwstr>
  </property>
  <property fmtid="{D5CDD505-2E9C-101B-9397-08002B2CF9AE}" pid="300" name="ZOTERO_BREF_k6R4zeFWJo0e_9">
    <vt:lpwstr>g Group","page":"12847","source":"www.nature.com","title":"Genomic evidence of recent hybridization between sea turtles at Abrolhos Archipelago and its association to low reproductive output","volume":"10","author":[{"family":"Arantes","given":"Larissa So</vt:lpwstr>
  </property>
  <property fmtid="{D5CDD505-2E9C-101B-9397-08002B2CF9AE}" pid="301" name="ZOTERO_BREF_kR47udatksLu_1">
    <vt:lpwstr/>
  </property>
  <property fmtid="{D5CDD505-2E9C-101B-9397-08002B2CF9AE}" pid="302" name="ZOTERO_BREF_pPilq8lBlQDO_1">
    <vt:lpwstr>ZOTERO_ITEM CSL_CITATION {"citationID":"e9E7zKlo","properties":{"formattedCitation":"(20)","plainCitation":"(20)","noteIndex":0},"citationItems":[{"id":3430,"uris":["http://zotero.org/users/8513884/items/I8MWBBMI"],"itemData":{"id":3430,"type":"article-jo</vt:lpwstr>
  </property>
  <property fmtid="{D5CDD505-2E9C-101B-9397-08002B2CF9AE}" pid="303" name="ZOTERO_BREF_pPilq8lBlQDO_2">
    <vt:lpwstr>urnal","container-title":"Journal of Open Source Software","DOI":"10.21105/joss.01686","ISSN":"2475-9066","issue":"43","journalAbbreviation":"JOSS","license":"http://creativecommons.org/licenses/by/4.0/","page":"1686","source":"DOI.org (Crossref)","title"</vt:lpwstr>
  </property>
  <property fmtid="{D5CDD505-2E9C-101B-9397-08002B2CF9AE}" pid="304" name="ZOTERO_BREF_pPilq8lBlQDO_3">
    <vt:lpwstr>:"Welcome to the Tidyverse","volume":"4","author":[{"family":"Wickham","given":"Hadley"},{"family":"Averick","given":"Mara"},{"family":"Bryan","given":"Jennifer"},{"family":"Chang","given":"Winston"},{"family":"McGowan","given":"Lucy"},{"family":"François</vt:lpwstr>
  </property>
  <property fmtid="{D5CDD505-2E9C-101B-9397-08002B2CF9AE}" pid="305" name="ZOTERO_BREF_pPilq8lBlQDO_4">
    <vt:lpwstr>","given":"Romain"},{"family":"Grolemund","given":"Garrett"},{"family":"Hayes","given":"Alex"},{"family":"Henry","given":"Lionel"},{"family":"Hester","given":"Jim"},{"family":"Kuhn","given":"Max"},{"family":"Pedersen","given":"Thomas"},{"family":"Miller",</vt:lpwstr>
  </property>
  <property fmtid="{D5CDD505-2E9C-101B-9397-08002B2CF9AE}" pid="306" name="ZOTERO_BREF_pPilq8lBlQDO_5">
    <vt:lpwstr>"given":"Evan"},{"family":"Bache","given":"Stephan"},{"family":"Müller","given":"Kirill"},{"family":"Ooms","given":"Jeroen"},{"family":"Robinson","given":"David"},{"family":"Seidel","given":"Dana"},{"family":"Spinu","given":"Vitalie"},{"family":"Takahashi</vt:lpwstr>
  </property>
  <property fmtid="{D5CDD505-2E9C-101B-9397-08002B2CF9AE}" pid="307" name="ZOTERO_BREF_pPilq8lBlQDO_6">
    <vt:lpwstr>","given":"Kohske"},{"family":"Vaughan","given":"Davis"},{"family":"Wilke","given":"Claus"},{"family":"Woo","given":"Kara"},{"family":"Yutani","given":"Hiroaki"}],"issued":{"date-parts":[["2019",11,21]]},"citation-key":"wickhamWelcomeTidyverse2019a"}}],"s</vt:lpwstr>
  </property>
  <property fmtid="{D5CDD505-2E9C-101B-9397-08002B2CF9AE}" pid="308" name="ZOTERO_BREF_pPilq8lBlQDO_7">
    <vt:lpwstr>chema":"https://github.com/citation-style-language/schema/raw/master/csl-citation.json"}</vt:lpwstr>
  </property>
  <property fmtid="{D5CDD505-2E9C-101B-9397-08002B2CF9AE}" pid="309" name="ZOTERO_BREF_uNBmFkA6NeK5_1">
    <vt:lpwstr>ZOTERO_ITEM CSL_CITATION {"citationID":"y9D8qt2P","properties":{"formattedCitation":"(2, 3)","plainCitation":"(2, 3)","noteIndex":0},"citationItems":[{"id":69,"uris":["http://zotero.org/users/8513884/items/9F9W57ED"],"itemData":{"id":69,"type":"article-jo</vt:lpwstr>
  </property>
  <property fmtid="{D5CDD505-2E9C-101B-9397-08002B2CF9AE}" pid="310" name="ZOTERO_BREF_uNBmFkA6NeK5_10">
    <vt:lpwstr>uza"},{"family":"Ferreira","given":"Lucas Cabral Lage"},{"family":"Driller","given":"Maximilian"},{"family":"Repinaldo Filho","given":"Fernando Pedro Marinho"},{"family":"Mazzoni","given":"Camila Junqueira"},{"family":"Santos","given":"Fabrício Rodrigues"</vt:lpwstr>
  </property>
  <property fmtid="{D5CDD505-2E9C-101B-9397-08002B2CF9AE}" pid="311" name="ZOTERO_BREF_uNBmFkA6NeK5_11">
    <vt:lpwstr>}],"issued":{"date-parts":[["2020",7,30]]},"citation-key":"arantesGenomicEvidenceRecent2020"}},{"id":9,"uris":["http://zotero.org/users/8513884/items/EVEA6U8W"],"itemData":{"id":9,"type":"article-journal","abstract":"Abstract\n            \n              </vt:lpwstr>
  </property>
  <property fmtid="{D5CDD505-2E9C-101B-9397-08002B2CF9AE}" pid="312" name="ZOTERO_BREF_uNBmFkA6NeK5_12">
    <vt:lpwstr>Hybridization is known to be part of many species' evolutionary history. Sea turtles have a fascinating hybridization system in which species separated by as much as 43 million years are still capable of hybridizing. Indeed, the largest nesting population</vt:lpwstr>
  </property>
  <property fmtid="{D5CDD505-2E9C-101B-9397-08002B2CF9AE}" pid="313" name="ZOTERO_BREF_uNBmFkA6NeK5_13">
    <vt:lpwstr>s in Brazil of loggerheads (\n              Caretta caretta\n              ) and hawksbills (\n              Eretmochelys imbricata\n              ) have a high incidence of hybrids between these two species. A third species, olive ridleys (\n            </vt:lpwstr>
  </property>
  <property fmtid="{D5CDD505-2E9C-101B-9397-08002B2CF9AE}" pid="314" name="ZOTERO_BREF_uNBmFkA6NeK5_14">
    <vt:lpwstr>  Lepidochelys olivacea\n              ), is also known to hybridize although at a smaller scale. Here, we used restriction site‐associated DNA sequencing (RAD‐Seq) markers, mitogenomes, and satellite‐telemetry to investigate the patterns of hybridization</vt:lpwstr>
  </property>
  <property fmtid="{D5CDD505-2E9C-101B-9397-08002B2CF9AE}" pid="315" name="ZOTERO_BREF_uNBmFkA6NeK5_15">
    <vt:lpwstr> and introgression in the Brazilian sea turtle population and their relationship with the migratory behaviours between feeding and nesting aggregations. We also explicitly test if the mixing of two divergent genomes in sea turtle hybrids causes mitochondr</vt:lpwstr>
  </property>
  <property fmtid="{D5CDD505-2E9C-101B-9397-08002B2CF9AE}" pid="316" name="ZOTERO_BREF_uNBmFkA6NeK5_16">
    <vt:lpwstr>ial paternal leakage. We developed a new species‐specific PCR‐assay capable of detecting mitochondrial DNA (mtDNA) inheritance from both parental species and performed ultra‐deep sequencing to estimate the abundance of each mtDNA type. Our results show th</vt:lpwstr>
  </property>
  <property fmtid="{D5CDD505-2E9C-101B-9397-08002B2CF9AE}" pid="317" name="ZOTERO_BREF_uNBmFkA6NeK5_17">
    <vt:lpwstr>at all adult hybrids are first generation (F1) and most display a loggerhead migratory behaviour. We detected paternal leakage in F1 hybrids and different proportions of mitochondria from maternal and paternal species. Although previous studies showed no </vt:lpwstr>
  </property>
  <property fmtid="{D5CDD505-2E9C-101B-9397-08002B2CF9AE}" pid="318" name="ZOTERO_BREF_uNBmFkA6NeK5_18">
    <vt:lpwstr>significant fitness decrease in hatchlings, our results support genetically‐related hybrid breakdown possibly caused by cytonuclear incompatibility. Further research on hybrids from other populations in addition to Brazil and between different species wil</vt:lpwstr>
  </property>
  <property fmtid="{D5CDD505-2E9C-101B-9397-08002B2CF9AE}" pid="319" name="ZOTERO_BREF_uNBmFkA6NeK5_19">
    <vt:lpwstr>l show if backcross inviability and mitochondrial paternal leakage is observed across sea turtle species.","container-title":"Molecular Ecology","DOI":"10.1111/mec.16773","ISSN":"0962-1083, 1365-294X","issue":"3","journalAbbreviation":"Molecular Ecology",</vt:lpwstr>
  </property>
  <property fmtid="{D5CDD505-2E9C-101B-9397-08002B2CF9AE}" pid="320" name="ZOTERO_BREF_uNBmFkA6NeK5_2">
    <vt:lpwstr>urnal","abstract":"Hybridization between sea turtle species occurs with particularly high frequency at two adjacent nesting areas in northeastern Brazil. To understand the outcomes of hybridization and their consequences for sea turtle conservation, we ne</vt:lpwstr>
  </property>
  <property fmtid="{D5CDD505-2E9C-101B-9397-08002B2CF9AE}" pid="321" name="ZOTERO_BREF_uNBmFkA6NeK5_20">
    <vt:lpwstr>"language":"en","page":"628-643","source":"DOI.org (Crossref)","title":"Evidence of backcross inviability and mitochondrial &lt;span style=\"font-variant:small-caps;\"&gt;DNA&lt;/span&gt; paternal leakage in sea turtle hybrids","title-short":"Evidence of backcross in</vt:lpwstr>
  </property>
  <property fmtid="{D5CDD505-2E9C-101B-9397-08002B2CF9AE}" pid="322" name="ZOTERO_BREF_uNBmFkA6NeK5_21">
    <vt:lpwstr>viability and mitochondrial &lt;span style=\"font-variant","volume":"32","author":[{"family":"Vilaça","given":"Sibelle T."},{"family":"Maroso","given":"Francesco"},{"family":"Lara","given":"Paulo"},{"family":"De Thoisy","given":"Benoit"},{"family":"Chevallie</vt:lpwstr>
  </property>
  <property fmtid="{D5CDD505-2E9C-101B-9397-08002B2CF9AE}" pid="323" name="ZOTERO_BREF_uNBmFkA6NeK5_22">
    <vt:lpwstr>r","given":"Damien"},{"family":"Arantes","given":"Larissa Souza"},{"family":"Santos","given":"Fabricio R."},{"family":"Bertorelle","given":"Giorgio"},{"family":"Mazzoni","given":"Camila J."}],"issued":{"date-parts":[["2023",2]]},"citation-key":"vilacaEvid</vt:lpwstr>
  </property>
  <property fmtid="{D5CDD505-2E9C-101B-9397-08002B2CF9AE}" pid="324" name="ZOTERO_BREF_uNBmFkA6NeK5_23">
    <vt:lpwstr>enceBackcrossInviability2023"}}],"schema":"https://github.com/citation-style-language/schema/raw/master/csl-citation.json"}</vt:lpwstr>
  </property>
  <property fmtid="{D5CDD505-2E9C-101B-9397-08002B2CF9AE}" pid="325" name="ZOTERO_BREF_uNBmFkA6NeK5_3">
    <vt:lpwstr>ed to evaluate the extent of hybridization occurrence and possible deleterious effects in the hybrid progeny. Thus, we investigated the hypothesis of the existence of a new hybrid spot offshore of Brazil’s northeastern coast. The Abrolhos Archipelago is s</vt:lpwstr>
  </property>
  <property fmtid="{D5CDD505-2E9C-101B-9397-08002B2CF9AE}" pid="326" name="ZOTERO_BREF_uNBmFkA6NeK5_4">
    <vt:lpwstr>urrounded by the largest and richest coral reefs in the South Atlantic and is known to be a nesting site for loggerhead turtles (Caretta caretta). In this study, we performed a multidisciplinary investigation into levels of hybridization in sea turtles an</vt:lpwstr>
  </property>
  <property fmtid="{D5CDD505-2E9C-101B-9397-08002B2CF9AE}" pid="327" name="ZOTERO_BREF_uNBmFkA6NeK5_5">
    <vt:lpwstr>d their reproductive output in the Abrolhos beaches. Genetic data from mitochondrial DNA (mtDNA) and six autosomal markers showed that there are first-generation hybrid females nesting in Abrolhos, resulting from crossings between hawksbill males (Eretmoc</vt:lpwstr>
  </property>
  <property fmtid="{D5CDD505-2E9C-101B-9397-08002B2CF9AE}" pid="328" name="ZOTERO_BREF_uNBmFkA6NeK5_6">
    <vt:lpwstr>helys imbricata) and loggerhead females, and backcrossed hatchlings from both parental species. The type and extent of hybridization were characterized using genomic data obtained with the 3RAD method, which confirmed backcrossing between F1 hybrids and l</vt:lpwstr>
  </property>
  <property fmtid="{D5CDD505-2E9C-101B-9397-08002B2CF9AE}" pid="329" name="ZOTERO_BREF_uNBmFkA6NeK5_7">
    <vt:lpwstr>oggerhead turtles. The reproductive output data of Abrolhos nests suggests a disadvantage of hybrids when compared to loggerheads. For the first time, we have shown the association between hybridization and low reproductive success, which may represent a </vt:lpwstr>
  </property>
  <property fmtid="{D5CDD505-2E9C-101B-9397-08002B2CF9AE}" pid="330" name="ZOTERO_BREF_uNBmFkA6NeK5_8">
    <vt:lpwstr>threat to sea turtle conservation.","container-title":"Scientific Reports","DOI":"10.1038/s41598-020-69613-8","ISSN":"2045-2322","issue":"1","journalAbbreviation":"Sci Rep","language":"en","license":"2020 The Author(s)","note":"publisher: Nature Publishin</vt:lpwstr>
  </property>
  <property fmtid="{D5CDD505-2E9C-101B-9397-08002B2CF9AE}" pid="331" name="ZOTERO_BREF_uNBmFkA6NeK5_9">
    <vt:lpwstr>g Group","page":"12847","source":"www.nature.com","title":"Genomic evidence of recent hybridization between sea turtles at Abrolhos Archipelago and its association to low reproductive output","volume":"10","author":[{"family":"Arantes","given":"Larissa So</vt:lpwstr>
  </property>
  <property fmtid="{D5CDD505-2E9C-101B-9397-08002B2CF9AE}" pid="332" name="ZOTERO_BREF_vvNPvAAkkKJi_1">
    <vt:lpwstr>ZOTERO_ITEM CSL_CITATION {"citationID":"vJmwmTIc","properties":{"formattedCitation":"(2)","plainCitation":"(2)","noteIndex":0},"citationItems":[{"id":69,"uris":["http://zotero.org/users/8513884/items/9F9W57ED"],"itemData":{"id":69,"type":"article-journal"</vt:lpwstr>
  </property>
  <property fmtid="{D5CDD505-2E9C-101B-9397-08002B2CF9AE}" pid="333" name="ZOTERO_BREF_vvNPvAAkkKJi_10">
    <vt:lpwstr>{"family":"Ferreira","given":"Lucas Cabral Lage"},{"family":"Driller","given":"Maximilian"},{"family":"Repinaldo Filho","given":"Fernando Pedro Marinho"},{"family":"Mazzoni","given":"Camila Junqueira"},{"family":"Santos","given":"Fabrício Rodrigues"}],"is</vt:lpwstr>
  </property>
  <property fmtid="{D5CDD505-2E9C-101B-9397-08002B2CF9AE}" pid="334" name="ZOTERO_BREF_vvNPvAAkkKJi_11">
    <vt:lpwstr>sued":{"date-parts":[["2020",7,30]]},"citation-key":"arantesGenomicEvidenceRecent2020"}}],"schema":"https://github.com/citation-style-language/schema/raw/master/csl-citation.json"}</vt:lpwstr>
  </property>
  <property fmtid="{D5CDD505-2E9C-101B-9397-08002B2CF9AE}" pid="335" name="ZOTERO_BREF_vvNPvAAkkKJi_2">
    <vt:lpwstr>,"abstract":"Hybridization between sea turtle species occurs with particularly high frequency at two adjacent nesting areas in northeastern Brazil. To understand the outcomes of hybridization and their consequences for sea turtle conservation, we need to </vt:lpwstr>
  </property>
  <property fmtid="{D5CDD505-2E9C-101B-9397-08002B2CF9AE}" pid="336" name="ZOTERO_BREF_vvNPvAAkkKJi_3">
    <vt:lpwstr>evaluate the extent of hybridization occurrence and possible deleterious effects in the hybrid progeny. Thus, we investigated the hypothesis of the existence of a new hybrid spot offshore of Brazil’s northeastern coast. The Abrolhos Archipelago is surroun</vt:lpwstr>
  </property>
  <property fmtid="{D5CDD505-2E9C-101B-9397-08002B2CF9AE}" pid="337" name="ZOTERO_BREF_vvNPvAAkkKJi_4">
    <vt:lpwstr>ded by the largest and richest coral reefs in the South Atlantic and is known to be a nesting site for loggerhead turtles (Caretta caretta). In this study, we performed a multidisciplinary investigation into levels of hybridization in sea turtles and thei</vt:lpwstr>
  </property>
  <property fmtid="{D5CDD505-2E9C-101B-9397-08002B2CF9AE}" pid="338" name="ZOTERO_BREF_vvNPvAAkkKJi_5">
    <vt:lpwstr>r reproductive output in the Abrolhos beaches. Genetic data from mitochondrial DNA (mtDNA) and six autosomal markers showed that there are first-generation hybrid females nesting in Abrolhos, resulting from crossings between hawksbill males (Eretmochelys </vt:lpwstr>
  </property>
  <property fmtid="{D5CDD505-2E9C-101B-9397-08002B2CF9AE}" pid="339" name="ZOTERO_BREF_vvNPvAAkkKJi_6">
    <vt:lpwstr>imbricata) and loggerhead females, and backcrossed hatchlings from both parental species. The type and extent of hybridization were characterized using genomic data obtained with the 3RAD method, which confirmed backcrossing between F1 hybrids and loggerh</vt:lpwstr>
  </property>
  <property fmtid="{D5CDD505-2E9C-101B-9397-08002B2CF9AE}" pid="340" name="ZOTERO_BREF_vvNPvAAkkKJi_7">
    <vt:lpwstr>ead turtles. The reproductive output data of Abrolhos nests suggests a disadvantage of hybrids when compared to loggerheads. For the first time, we have shown the association between hybridization and low reproductive success, which may represent a threat</vt:lpwstr>
  </property>
  <property fmtid="{D5CDD505-2E9C-101B-9397-08002B2CF9AE}" pid="341" name="ZOTERO_BREF_vvNPvAAkkKJi_8">
    <vt:lpwstr> to sea turtle conservation.","container-title":"Scientific Reports","DOI":"10.1038/s41598-020-69613-8","ISSN":"2045-2322","issue":"1","journalAbbreviation":"Sci Rep","language":"en","license":"2020 The Author(s)","note":"publisher: Nature Publishing Grou</vt:lpwstr>
  </property>
  <property fmtid="{D5CDD505-2E9C-101B-9397-08002B2CF9AE}" pid="342" name="ZOTERO_BREF_vvNPvAAkkKJi_9">
    <vt:lpwstr>p","page":"12847","source":"www.nature.com","title":"Genomic evidence of recent hybridization between sea turtles at Abrolhos Archipelago and its association to low reproductive output","volume":"10","author":[{"family":"Arantes","given":"Larissa Souza"},</vt:lpwstr>
  </property>
  <property fmtid="{D5CDD505-2E9C-101B-9397-08002B2CF9AE}" pid="343" name="ZOTERO_BREF_w23Px3vLjnVp_1">
    <vt:lpwstr>ZOTERO_ITEM CSL_CITATION {"citationID":"xnLw9g6l","properties":{"formattedCitation":"(3, 7)","plainCitation":"(3, 7)","noteIndex":0},"citationItems":[{"id":9,"uris":["http://zotero.org/users/8513884/items/EVEA6U8W"],"itemData":{"id":9,"type":"article-jour</vt:lpwstr>
  </property>
  <property fmtid="{D5CDD505-2E9C-101B-9397-08002B2CF9AE}" pid="344" name="ZOTERO_BREF_w23Px3vLjnVp_10">
    <vt:lpwstr>,"issue":"3","journalAbbreviation":"Molecular Ecology","language":"en","page":"628-643","source":"DOI.org (Crossref)","title":"Evidence of backcross inviability and mitochondrial &lt;span style=\"font-variant:small-caps;\"&gt;DNA&lt;/span&gt; paternal leakage in sea </vt:lpwstr>
  </property>
  <property fmtid="{D5CDD505-2E9C-101B-9397-08002B2CF9AE}" pid="345" name="ZOTERO_BREF_w23Px3vLjnVp_11">
    <vt:lpwstr>turtle hybrids","title-short":"Evidence of backcross inviability and mitochondrial &lt;span style=\"font-variant","volume":"32","author":[{"family":"Vilaça","given":"Sibelle T."},{"family":"Maroso","given":"Francesco"},{"family":"Lara","given":"Paulo"},{"fam</vt:lpwstr>
  </property>
  <property fmtid="{D5CDD505-2E9C-101B-9397-08002B2CF9AE}" pid="346" name="ZOTERO_BREF_w23Px3vLjnVp_12">
    <vt:lpwstr>ily":"De Thoisy","given":"Benoit"},{"family":"Chevallier","given":"Damien"},{"family":"Arantes","given":"Larissa Souza"},{"family":"Santos","given":"Fabricio R."},{"family":"Bertorelle","given":"Giorgio"},{"family":"Mazzoni","given":"Camila J."}],"issued"</vt:lpwstr>
  </property>
  <property fmtid="{D5CDD505-2E9C-101B-9397-08002B2CF9AE}" pid="347" name="ZOTERO_BREF_w23Px3vLjnVp_13">
    <vt:lpwstr>:{"date-parts":[["2023",2]]},"citation-key":"vilacaEvidenceBackcrossInviability2023"}},{"id":2972,"uris":["http://zotero.org/users/8513884/items/H4K3V9MX"],"itemData":{"id":2972,"type":"article-journal","abstract":"The ability to efficiently and accuratel</vt:lpwstr>
  </property>
  <property fmtid="{D5CDD505-2E9C-101B-9397-08002B2CF9AE}" pid="348" name="ZOTERO_BREF_w23Px3vLjnVp_14">
    <vt:lpwstr>y determine genotypes is a keystone technology in modern genetics, crucial to studies ranging from clinical diagnostics, to genotype-phenotype association, to reconstruction of ancestry and the detection of selection. To date, high capacity, low cost geno</vt:lpwstr>
  </property>
  <property fmtid="{D5CDD505-2E9C-101B-9397-08002B2CF9AE}" pid="349" name="ZOTERO_BREF_w23Px3vLjnVp_15">
    <vt:lpwstr>typing has been largely achieved via “SNP chip” microarray-based platforms which require substantial prior knowledge of both genome sequence and variability, and once designed are suitable only for those targeted variable nucleotide sites. This method int</vt:lpwstr>
  </property>
  <property fmtid="{D5CDD505-2E9C-101B-9397-08002B2CF9AE}" pid="350" name="ZOTERO_BREF_w23Px3vLjnVp_16">
    <vt:lpwstr>roduces substantial ascertainment bias and inherently precludes detection of rare or population-specific variants, a major source of information for both population history and genotype-phenotype association. Recent developments in reduced-representation </vt:lpwstr>
  </property>
  <property fmtid="{D5CDD505-2E9C-101B-9397-08002B2CF9AE}" pid="351" name="ZOTERO_BREF_w23Px3vLjnVp_17">
    <vt:lpwstr>genome sequencing experiments on massively parallel sequencers (commonly referred to as RAD-tag or RADseq) have brought direct sequencing to the problem of population genotyping, but increased cost and procedural and analytical complexity have limited the</vt:lpwstr>
  </property>
  <property fmtid="{D5CDD505-2E9C-101B-9397-08002B2CF9AE}" pid="352" name="ZOTERO_BREF_w23Px3vLjnVp_18">
    <vt:lpwstr>ir widespread adoption. Here, we describe a complete laboratory protocol, including a custom combinatorial indexing method, and accompanying software tools to facilitate genotyping across large numbers (hundreds or more) of individuals for a range of mark</vt:lpwstr>
  </property>
  <property fmtid="{D5CDD505-2E9C-101B-9397-08002B2CF9AE}" pid="353" name="ZOTERO_BREF_w23Px3vLjnVp_19">
    <vt:lpwstr>ers (hundreds to hundreds of thousands). Our method requires no prior genomic knowledge and achieves per-site and per-individual costs below that of current SNP chip technology, while requiring similar hands-on time investment, comparable amounts of input</vt:lpwstr>
  </property>
  <property fmtid="{D5CDD505-2E9C-101B-9397-08002B2CF9AE}" pid="354" name="ZOTERO_BREF_w23Px3vLjnVp_2">
    <vt:lpwstr>nal","abstract":"Abstract\n            \n              Hybridization is known to be part of many species' evolutionary history. Sea turtles have a fascinating hybridization system in which species separated by as much as 43 million years are still capable</vt:lpwstr>
  </property>
  <property fmtid="{D5CDD505-2E9C-101B-9397-08002B2CF9AE}" pid="355" name="ZOTERO_BREF_w23Px3vLjnVp_20">
    <vt:lpwstr> DNA, and downstream analysis times on the order of hours. Finally, we provide empirical results from the application of this method to both genotyping in a laboratory cross and in wild populations. Because of its flexibility, this modified RADseq approac</vt:lpwstr>
  </property>
  <property fmtid="{D5CDD505-2E9C-101B-9397-08002B2CF9AE}" pid="356" name="ZOTERO_BREF_w23Px3vLjnVp_21">
    <vt:lpwstr>h promises to be applicable to a diversity of biological questions in a wide range of organisms.","container-title":"PLOS ONE","DOI":"10.1371/journal.pone.0037135","ISSN":"1932-6203","issue":"5","journalAbbreviation":"PLOS ONE","language":"en","note":"pub</vt:lpwstr>
  </property>
  <property fmtid="{D5CDD505-2E9C-101B-9397-08002B2CF9AE}" pid="357" name="ZOTERO_BREF_w23Px3vLjnVp_22">
    <vt:lpwstr>lisher: Public Library of Science","page":"e37135","source":"PLoS Journals","title":"Double Digest RADseq: An Inexpensive Method for De Novo SNP Discovery and Genotyping in Model and Non-Model Species","title-short":"Double Digest RADseq","volume":"7","au</vt:lpwstr>
  </property>
  <property fmtid="{D5CDD505-2E9C-101B-9397-08002B2CF9AE}" pid="358" name="ZOTERO_BREF_w23Px3vLjnVp_23">
    <vt:lpwstr>thor":[{"family":"Peterson","given":"Brant K."},{"family":"Weber","given":"Jesse N."},{"family":"Kay","given":"Emily H."},{"family":"Fisher","given":"Heidi S."},{"family":"Hoekstra","given":"Hopi E."}],"issued":{"date-parts":[["2012",5,31]]},"citation-key</vt:lpwstr>
  </property>
  <property fmtid="{D5CDD505-2E9C-101B-9397-08002B2CF9AE}" pid="359" name="ZOTERO_BREF_w23Px3vLjnVp_24">
    <vt:lpwstr>":"petersonDoubleDigestRADseq2012"}}],"schema":"https://github.com/citation-style-language/schema/raw/master/csl-citation.json"}</vt:lpwstr>
  </property>
  <property fmtid="{D5CDD505-2E9C-101B-9397-08002B2CF9AE}" pid="360" name="ZOTERO_BREF_w23Px3vLjnVp_3">
    <vt:lpwstr> of hybridizing. Indeed, the largest nesting populations in Brazil of loggerheads (\n              Caretta caretta\n              ) and hawksbills (\n              Eretmochelys imbricata\n              ) have a high incidence of hybrids between these two </vt:lpwstr>
  </property>
  <property fmtid="{D5CDD505-2E9C-101B-9397-08002B2CF9AE}" pid="361" name="ZOTERO_BREF_w23Px3vLjnVp_4">
    <vt:lpwstr>species. A third species, olive ridleys (\n              Lepidochelys olivacea\n              ), is also known to hybridize although at a smaller scale. Here, we used restriction site‐associated DNA sequencing (RAD‐Seq) markers, mitogenomes, and satellite</vt:lpwstr>
  </property>
  <property fmtid="{D5CDD505-2E9C-101B-9397-08002B2CF9AE}" pid="362" name="ZOTERO_BREF_w23Px3vLjnVp_5">
    <vt:lpwstr>‐telemetry to investigate the patterns of hybridization and introgression in the Brazilian sea turtle population and their relationship with the migratory behaviours between feeding and nesting aggregations. We also explicitly test if the mixing of two di</vt:lpwstr>
  </property>
  <property fmtid="{D5CDD505-2E9C-101B-9397-08002B2CF9AE}" pid="363" name="ZOTERO_BREF_w23Px3vLjnVp_6">
    <vt:lpwstr>vergent genomes in sea turtle hybrids causes mitochondrial paternal leakage. We developed a new species‐specific PCR‐assay capable of detecting mitochondrial DNA (mtDNA) inheritance from both parental species and performed ultra‐deep sequencing to estimat</vt:lpwstr>
  </property>
  <property fmtid="{D5CDD505-2E9C-101B-9397-08002B2CF9AE}" pid="364" name="ZOTERO_BREF_w23Px3vLjnVp_7">
    <vt:lpwstr>e the abundance of each mtDNA type. Our results show that all adult hybrids are first generation (F1) and most display a loggerhead migratory behaviour. We detected paternal leakage in F1 hybrids and different proportions of mitochondria from maternal and</vt:lpwstr>
  </property>
  <property fmtid="{D5CDD505-2E9C-101B-9397-08002B2CF9AE}" pid="365" name="ZOTERO_BREF_w23Px3vLjnVp_8">
    <vt:lpwstr> paternal species. Although previous studies showed no significant fitness decrease in hatchlings, our results support genetically‐related hybrid breakdown possibly caused by cytonuclear incompatibility. Further research on hybrids from other populations </vt:lpwstr>
  </property>
  <property fmtid="{D5CDD505-2E9C-101B-9397-08002B2CF9AE}" pid="366" name="ZOTERO_BREF_w23Px3vLjnVp_9">
    <vt:lpwstr>in addition to Brazil and between different species will show if backcross inviability and mitochondrial paternal leakage is observed across sea turtle species.","container-title":"Molecular Ecology","DOI":"10.1111/mec.16773","ISSN":"0962-1083, 1365-294X"</vt:lpwstr>
  </property>
  <property fmtid="{D5CDD505-2E9C-101B-9397-08002B2CF9AE}" pid="367" name="ZOTERO_BREF_wKJMwTE0fXAl_1">
    <vt:lpwstr>ZOTERO_ITEM CSL_CITATION {"citationID":"1jzMzPiZ","properties":{"formattedCitation":"(17)","plainCitation":"(17)","noteIndex":0},"citationItems":[{"id":3424,"uris":["http://zotero.org/users/8513884/items/T2U5JRWW"],"itemData":{"id":3424,"type":"article-jo</vt:lpwstr>
  </property>
  <property fmtid="{D5CDD505-2E9C-101B-9397-08002B2CF9AE}" pid="368" name="ZOTERO_BREF_wKJMwTE0fXAl_10">
    <vt:lpwstr>:[{"family":"Garcia-Erill","given":"Genís"},{"family":"Albrechtsen","given":"Anders"}],"issued":{"date-parts":[["2020"]]},"citation-key":"garcia-erillEvaluationModelFit2020"}}],"schema":"https://github.com/citation-style-language/schema/raw/master/csl-cit</vt:lpwstr>
  </property>
  <property fmtid="{D5CDD505-2E9C-101B-9397-08002B2CF9AE}" pid="369" name="ZOTERO_BREF_wKJMwTE0fXAl_11">
    <vt:lpwstr>ation.json"}</vt:lpwstr>
  </property>
  <property fmtid="{D5CDD505-2E9C-101B-9397-08002B2CF9AE}" pid="370" name="ZOTERO_BREF_wKJMwTE0fXAl_2">
    <vt:lpwstr>urnal","abstract":"Model based methods for genetic clustering of individuals, such as those implemented in structure or ADMIXTURE, allow the user to infer individual ancestries and study population structure. The underlying model makes several assumptions</vt:lpwstr>
  </property>
  <property fmtid="{D5CDD505-2E9C-101B-9397-08002B2CF9AE}" pid="371" name="ZOTERO_BREF_wKJMwTE0fXAl_3">
    <vt:lpwstr> about the demographic history that shaped the analysed genetic data. One assumption is that all individuals are a result of K homogeneous ancestral populations that are all well represented in the data, while another assumption is that no drift happened </vt:lpwstr>
  </property>
  <property fmtid="{D5CDD505-2E9C-101B-9397-08002B2CF9AE}" pid="372" name="ZOTERO_BREF_wKJMwTE0fXAl_4">
    <vt:lpwstr>after the admixture event. The histories of many real world populations do not conform to that model, and in that case taking the inferred admixture proportions at face value might be misleading. We propose a method to evaluate the fit of admixture models</vt:lpwstr>
  </property>
  <property fmtid="{D5CDD505-2E9C-101B-9397-08002B2CF9AE}" pid="373" name="ZOTERO_BREF_wKJMwTE0fXAl_5">
    <vt:lpwstr> based on estimating the correlation of the residual difference between the true genotypes and the genotypes predicted by the model. When the model assumptions are not violated, the residuals from a pair of individuals are not correlated. In the case of a</vt:lpwstr>
  </property>
  <property fmtid="{D5CDD505-2E9C-101B-9397-08002B2CF9AE}" pid="374" name="ZOTERO_BREF_wKJMwTE0fXAl_6">
    <vt:lpwstr> bad fitting admixture model, individuals with similar demographic histories have a positive correlation of their residuals. Using simulated and real data, we show how the method is able to detect a bad fit of inferred admixture proportions due to using a</vt:lpwstr>
  </property>
  <property fmtid="{D5CDD505-2E9C-101B-9397-08002B2CF9AE}" pid="375" name="ZOTERO_BREF_wKJMwTE0fXAl_7">
    <vt:lpwstr>n insufficient number of clusters K or to demographic histories that deviate significantly from the admixture model assumptions, such as admixture from ghost populations, drift after admixture events and nondiscrete ancestral populations. We have implemen</vt:lpwstr>
  </property>
  <property fmtid="{D5CDD505-2E9C-101B-9397-08002B2CF9AE}" pid="376" name="ZOTERO_BREF_wKJMwTE0fXAl_8">
    <vt:lpwstr>ted the method as an open source software that can be applied to both unphased genotypes and low depth sequencing data.","container-title":"Molecular Ecology Resources","DOI":"10.1111/1755-0998.13171","ISSN":"1755-0998","issue":"4","language":"en","licens</vt:lpwstr>
  </property>
  <property fmtid="{D5CDD505-2E9C-101B-9397-08002B2CF9AE}" pid="377" name="ZOTERO_BREF_wKJMwTE0fXAl_9">
    <vt:lpwstr>e":"© 2020 John Wiley &amp; Sons Ltd","note":"_eprint: https://onlinelibrary.wiley.com/doi/pdf/10.1111/1755-0998.13171","page":"936-949","source":"Wiley Online Library","title":"Evaluation of model fit of inferred admixture proportions","volume":"20","author"</vt:lpwstr>
  </property>
  <property fmtid="{D5CDD505-2E9C-101B-9397-08002B2CF9AE}" pid="378" name="ZOTERO_BREF_ytwIc7kwjfvp_1">
    <vt:lpwstr>ZOTERO_ITEM CSL_CITATION {"citationID":"0LSiIgpF","properties":{"formattedCitation":"(2)","plainCitation":"(2)","noteIndex":0},"citationItems":[{"id":69,"uris":["http://zotero.org/users/8513884/items/9F9W57ED"],"itemData":{"id":69,"type":"article-journal"</vt:lpwstr>
  </property>
  <property fmtid="{D5CDD505-2E9C-101B-9397-08002B2CF9AE}" pid="379" name="ZOTERO_BREF_ytwIc7kwjfvp_10">
    <vt:lpwstr>{"family":"Ferreira","given":"Lucas Cabral Lage"},{"family":"Driller","given":"Maximilian"},{"family":"Repinaldo Filho","given":"Fernando Pedro Marinho"},{"family":"Mazzoni","given":"Camila Junqueira"},{"family":"Santos","given":"Fabrício Rodrigues"}],"is</vt:lpwstr>
  </property>
  <property fmtid="{D5CDD505-2E9C-101B-9397-08002B2CF9AE}" pid="380" name="ZOTERO_BREF_ytwIc7kwjfvp_11">
    <vt:lpwstr>sued":{"date-parts":[["2020",7,30]]},"citation-key":"arantesGenomicEvidenceRecent2020"}}],"schema":"https://github.com/citation-style-language/schema/raw/master/csl-citation.json"}</vt:lpwstr>
  </property>
  <property fmtid="{D5CDD505-2E9C-101B-9397-08002B2CF9AE}" pid="381" name="ZOTERO_BREF_ytwIc7kwjfvp_2">
    <vt:lpwstr>,"abstract":"Hybridization between sea turtle species occurs with particularly high frequency at two adjacent nesting areas in northeastern Brazil. To understand the outcomes of hybridization and their consequences for sea turtle conservation, we need to </vt:lpwstr>
  </property>
  <property fmtid="{D5CDD505-2E9C-101B-9397-08002B2CF9AE}" pid="382" name="ZOTERO_BREF_ytwIc7kwjfvp_3">
    <vt:lpwstr>evaluate the extent of hybridization occurrence and possible deleterious effects in the hybrid progeny. Thus, we investigated the hypothesis of the existence of a new hybrid spot offshore of Brazil’s northeastern coast. The Abrolhos Archipelago is surroun</vt:lpwstr>
  </property>
  <property fmtid="{D5CDD505-2E9C-101B-9397-08002B2CF9AE}" pid="383" name="ZOTERO_BREF_ytwIc7kwjfvp_4">
    <vt:lpwstr>ded by the largest and richest coral reefs in the South Atlantic and is known to be a nesting site for loggerhead turtles (Caretta caretta). In this study, we performed a multidisciplinary investigation into levels of hybridization in sea turtles and thei</vt:lpwstr>
  </property>
  <property fmtid="{D5CDD505-2E9C-101B-9397-08002B2CF9AE}" pid="384" name="ZOTERO_BREF_ytwIc7kwjfvp_5">
    <vt:lpwstr>r reproductive output in the Abrolhos beaches. Genetic data from mitochondrial DNA (mtDNA) and six autosomal markers showed that there are first-generation hybrid females nesting in Abrolhos, resulting from crossings between hawksbill males (Eretmochelys </vt:lpwstr>
  </property>
  <property fmtid="{D5CDD505-2E9C-101B-9397-08002B2CF9AE}" pid="385" name="ZOTERO_BREF_ytwIc7kwjfvp_6">
    <vt:lpwstr>imbricata) and loggerhead females, and backcrossed hatchlings from both parental species. The type and extent of hybridization were characterized using genomic data obtained with the 3RAD method, which confirmed backcrossing between F1 hybrids and loggerh</vt:lpwstr>
  </property>
  <property fmtid="{D5CDD505-2E9C-101B-9397-08002B2CF9AE}" pid="386" name="ZOTERO_BREF_ytwIc7kwjfvp_7">
    <vt:lpwstr>ead turtles. The reproductive output data of Abrolhos nests suggests a disadvantage of hybrids when compared to loggerheads. For the first time, we have shown the association between hybridization and low reproductive success, which may represent a threat</vt:lpwstr>
  </property>
  <property fmtid="{D5CDD505-2E9C-101B-9397-08002B2CF9AE}" pid="387" name="ZOTERO_BREF_ytwIc7kwjfvp_8">
    <vt:lpwstr> to sea turtle conservation.","container-title":"Scientific Reports","DOI":"10.1038/s41598-020-69613-8","ISSN":"2045-2322","issue":"1","journalAbbreviation":"Sci Rep","language":"en","license":"2020 The Author(s)","note":"publisher: Nature Publishing Grou</vt:lpwstr>
  </property>
  <property fmtid="{D5CDD505-2E9C-101B-9397-08002B2CF9AE}" pid="388" name="ZOTERO_BREF_ytwIc7kwjfvp_9">
    <vt:lpwstr>p","page":"12847","source":"www.nature.com","title":"Genomic evidence of recent hybridization between sea turtles at Abrolhos Archipelago and its association to low reproductive output","volume":"10","author":[{"family":"Arantes","given":"Larissa Souza"},</vt:lpwstr>
  </property>
  <property fmtid="{D5CDD505-2E9C-101B-9397-08002B2CF9AE}" pid="389" name="ZOTERO_BREF_ywBRghyLrYx5_1">
    <vt:lpwstr>ZOTERO_ITEM CSL_CITATION {"citationID":"a0hiUgXF","properties":{"formattedCitation":"(14)","plainCitation":"(14)","noteIndex":0},"citationItems":[{"id":1699,"uris":["http://zotero.org/users/8513884/items/PJVFLV5R"],"itemData":{"id":1699,"type":"article-jo</vt:lpwstr>
  </property>
  <property fmtid="{D5CDD505-2E9C-101B-9397-08002B2CF9AE}" pid="390" name="ZOTERO_BREF_ywBRghyLrYx5_10">
    <vt:lpwstr>://github.com/citation-style-language/schema/raw/master/csl-citation.json"}</vt:lpwstr>
  </property>
  <property fmtid="{D5CDD505-2E9C-101B-9397-08002B2CF9AE}" pid="391" name="ZOTERO_BREF_ywBRghyLrYx5_2">
    <vt:lpwstr>urnal","abstract":"AbstractMeisner and Albrechtsen present two methods for inferring population structure and admixture proportions in low depth next-generation sequencing (NGS). NGS methods provide large amounts of genetic data but are associated with st</vt:lpwstr>
  </property>
  <property fmtid="{D5CDD505-2E9C-101B-9397-08002B2CF9AE}" pid="392" name="ZOTERO_BREF_ywBRghyLrYx5_3">
    <vt:lpwstr>atistical uncertainty, especially for low-depth...We here present two methods for inferring population structure and admixture proportions in low-depth next-generation sequencing (NGS) data. Inference of population structure is essential in both populatio</vt:lpwstr>
  </property>
  <property fmtid="{D5CDD505-2E9C-101B-9397-08002B2CF9AE}" pid="393" name="ZOTERO_BREF_ywBRghyLrYx5_4">
    <vt:lpwstr>n genetics and association studies, and is often performed using principal component analysis (PCA) or clustering-based approaches. NGS methods provide large amounts of genetic data but are associated with statistical uncertainty, especially for low-depth</vt:lpwstr>
  </property>
  <property fmtid="{D5CDD505-2E9C-101B-9397-08002B2CF9AE}" pid="394" name="ZOTERO_BREF_ywBRghyLrYx5_5">
    <vt:lpwstr> sequencing data. Models can account for this uncertainty by working directly on genotype likelihoods of the unobserved genotypes. We propose a method for inferring population structure through PCA in an iterative heuristic approach of estimating individu</vt:lpwstr>
  </property>
  <property fmtid="{D5CDD505-2E9C-101B-9397-08002B2CF9AE}" pid="395" name="ZOTERO_BREF_ywBRghyLrYx5_6">
    <vt:lpwstr>al allele frequencies, where we demonstrate improved accuracy in samples with low and variable sequencing depth for both simulated and real datasets. We also use the estimated individual allele frequencies in a fast non-negative matrix factorization metho</vt:lpwstr>
  </property>
  <property fmtid="{D5CDD505-2E9C-101B-9397-08002B2CF9AE}" pid="396" name="ZOTERO_BREF_ywBRghyLrYx5_7">
    <vt:lpwstr>d to estimate admixture proportions. Both methods have been implemented in the PCAngsd framework available at http://www.popgen.dk/software/.","container-title":"Genetics","DOI":"10.1534/genetics.118.301336","ISSN":"1943-2631","issue":"2","language":"en",</vt:lpwstr>
  </property>
  <property fmtid="{D5CDD505-2E9C-101B-9397-08002B2CF9AE}" pid="397" name="ZOTERO_BREF_ywBRghyLrYx5_8">
    <vt:lpwstr>"license":"https://academic.oup.com/journals/pages/open_access/funder_policies/chorus/standard_publication_model","note":"publisher: Oxford University Press (OUP)","page":"719-731","source":"Crossref","title":"Inferring Population Structure and Admixture </vt:lpwstr>
  </property>
  <property fmtid="{D5CDD505-2E9C-101B-9397-08002B2CF9AE}" pid="398" name="ZOTERO_BREF_ywBRghyLrYx5_9">
    <vt:lpwstr>Proportions in Low-Depth NGS Data","volume":"210","author":[{"family":"Meisner","given":"Jonas"},{"family":"Albrechtsen","given":"Anders"}],"issued":{"date-parts":[["2018",10,1]]},"citation-key":"meisnerInferringPopulationStructure2018"}}],"schema":"https</vt:lpwstr>
  </property>
  <property fmtid="{D5CDD505-2E9C-101B-9397-08002B2CF9AE}" pid="399" name="ZOTERO_PREF_1">
    <vt:lpwstr>&lt;data data-version="3" zotero-version="7.0.15"&gt;&lt;session id="Xv1bucOC"/&gt;&lt;style id="http://www.zotero.org/styles/associacao-brasileira-de-normas-tecnicas-numerico" hasBibliography="1" bibliographyStyleHasBeenSet="0"/&gt;&lt;prefs&gt;&lt;pref name="fieldType" value="Boo</vt:lpwstr>
  </property>
  <property fmtid="{D5CDD505-2E9C-101B-9397-08002B2CF9AE}" pid="400" name="ZOTERO_PREF_2">
    <vt:lpwstr>kmark"/&gt;&lt;/prefs&gt;&lt;/data&gt;</vt:lpwstr>
  </property>
</Properties>
</file>