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color w:val="000000"/>
          <w:u w:val="none"/>
        </w:rPr>
        <w:t>Human values and prosocial self descriptions among business students</w:t>
      </w:r>
    </w:p>
    <w:p>
      <w:pPr>
        <w:pStyle w:val="Heading1"/>
        <w:keepNext/>
        <w:widowControl/>
      </w:pPr>
      <w:r>
        <w:rPr>
          <w:color w:val="000000"/>
        </w:rPr>
        <w:t>Abstract</w:t>
      </w:r>
    </w:p>
    <w:p>
      <w:pPr>
        <w:widowControl/>
      </w:pPr>
      <w:r>
        <w:t>This exploratory secondary analysis extends Prialé et al.’s (2024) ASP-S study by examining conditional associations with prosocial self-descriptions, their dependence on measurement decisions, and the incremental predictive information in four value portraits. We reanalysed the same 653 business-student questionnaires from four Latin American institutions. Universalism related positively to sustainability attitudes, while sustainable business leadership related to helping, sharing and empathic support under continuous and ordinal estimation. Benevolence had a joint association and a supported association with empathic support, without established between-item heterogeneity. M2, a content-motivated two-cross-loading specification, served as the structural reference. Ordinal CFA yielded prosocial AVE=.556 on the latent-response scale, but robust CFI=.897 and an attitude correlation of .832 constrained validity claims. In grouped cross-validation, adding four value portraits after sustainability responses changed ordinal RMSE by −0.29%, +0.61% and −0.70% for helping, sharing and empathic support. These associations coexist with small, uneven and uncertain predictive changes. Reused data, single-portrait values, sparse categories and unresolved measurement comparability restrict interpretation. The outcomes are self-reports and do not establish observed behaviour or managerial performance.</w:t>
      </w:r>
    </w:p>
    <w:p>
      <w:pPr>
        <w:keepLines/>
        <w:widowControl/>
        <w:spacing w:line="240" w:lineRule="auto" w:before="80" w:after="160"/>
      </w:pPr>
      <w:r>
        <w:rPr>
          <w:sz w:val="21"/>
        </w:rPr>
        <w:t>Keywords: Human values; Universalism; Sustainability attitudes; Prosociality; Measurement models; Business students</w:t>
      </w:r>
    </w:p>
    <w:p>
      <w:pPr>
        <w:pStyle w:val="Heading1"/>
        <w:keepNext/>
        <w:widowControl/>
      </w:pPr>
      <w:r>
        <w:rPr>
          <w:color w:val="000000"/>
        </w:rPr>
        <w:t>Introduction</w:t>
      </w:r>
    </w:p>
    <w:p>
      <w:pPr>
        <w:widowControl/>
      </w:pPr>
      <w:r>
        <w:t>Business sustainability concerns how economic activity relates to social welfare and environmental conditions over time. In the present study, this includes attention to the consequences of business decisions for stakeholders, communities and ecological systems, alongside economic viability. For a future manager, endorsing this orientation might involve recognising that a commercially attractive decision can distribute benefits and costs unevenly. Such endorsement has educational relevance, but its meaning must be specified: expressing support for sustainable management, describing oneself as helpful and demonstrating responsible conduct in practice provide different kinds of evidence. Understanding how these responses relate is therefore a substantive question, rather than a matter of treating every favourable response as the same outcome.</w:t>
      </w:r>
    </w:p>
    <w:p>
      <w:pPr>
        <w:widowControl/>
      </w:pPr>
      <w:r>
        <w:t>Research on business students has examined personal values alongside attitudes toward sustainable development and responsible management. Bask et al. (2020), for example, distinguish relatively broad value priorities from more specific sustainability attitudes. Arieli et al. (2016) examine values in business schools through both self-selection and socialisation, while Haski-Leventhal et al. (2022) place students' values, attitudes and intentions within responsible management education. Together, these perspectives motivate examining the connections among these domains without assuming that enrolment or course attendance explains them. The present investigation concerns the pattern of students' responses; the available cross-sectional records do not identify changes attributable to their education. Research on value-based education in Latin American business schools provides the regional educational context for these questions (Reficco et al., 2019).</w:t>
      </w:r>
    </w:p>
    <w:p>
      <w:pPr>
        <w:widowControl/>
      </w:pPr>
      <w:r>
        <w:t>Prialé et al. (2024) provide the immediate empirical foundation. They developed and evaluated the Appreciation for Sustainable Practices in Students scale (ASP-S) with Latin American business students, retaining ten systemic consciousness (SC) and nine sustainable business leadership (SBL) indicators. Their study already examined individual human values, including Universalism and Benevolence, and reported their bivariate associations with the sustainability attitudes. It also recommended extending the attitudinal assessment through complementary variables and measures. Consequently, neither distinguishing those individual values nor connecting values with sustainability attitudes constitutes a new contribution here. The opportunity is to examine additional outcomes and to clarify the interpretation and predictive reach of the relationships.</w:t>
      </w:r>
    </w:p>
    <w:p>
      <w:pPr>
        <w:widowControl/>
      </w:pPr>
      <w:r>
        <w:t>The archived questionnaires also contain self-descriptions of helping, sharing and empathic support in personal life. These responses allow an extension from attitudes about sustainable business practices toward an interpersonal domain. That extension raises two linked interpretive issues. A positive association could reflect a connection between orientations across settings, but it could also be sensitive to shared item content and the representation of closely related sustainability dimensions. Moreover, finding an adjusted association does not establish that values improve prediction after the sustainability responses are already known. Considering both issues helps specify what a reported connection adds to the previous scale-development study.</w:t>
      </w:r>
    </w:p>
    <w:p>
      <w:pPr>
        <w:widowControl/>
      </w:pPr>
      <w:r>
        <w:t>This exploratory secondary analysis therefore asks three questions. First, how are sustainability attitudes and individual values conditionally associated with helping, sharing and empathic support when other predictors are considered? Second, which associations persist across measurement specifications and estimators, and what does their sensitivity imply for interpreting SC and SBL as differentiated domains? Third, how much do four value portraits jointly add to internal prediction once sustainability responses and the other predictors are known? We analyse the same 653 questionnaires underlying Prialé et al. (2024), drawn from one institution each in Argentina, Colombia, Peru and Mexico. The institutional coverage supplies several settings within the archive, rather than a representative comparison of national populations.</w:t>
      </w:r>
    </w:p>
    <w:p>
      <w:pPr>
        <w:widowControl/>
      </w:pPr>
      <w:r>
        <w:t>The contribution is an extension of the outcome domain and an examination of the limits of the associated evidence. The association analyses connect sustainability attitudes with prosocial self-descriptions; the measurement comparisons assess how confidently those associations can be attributed to distinct domains; and the prediction exercise evaluates the additional information in the selected values. These components address complementary scientific questions. They do not constitute a new sample, an independent replication or external validation of ASP-S. Their interpretation depends on maintaining the distinction between a meaningful question about reported orientations and a stronger claim about behaviour, professional competence or educational effectiveness.</w:t>
      </w:r>
    </w:p>
    <w:p>
      <w:pPr>
        <w:pStyle w:val="Heading1"/>
        <w:keepNext/>
        <w:widowControl/>
      </w:pPr>
      <w:r>
        <w:rPr>
          <w:color w:val="000000"/>
        </w:rPr>
        <w:t>Conceptual rationale</w:t>
      </w:r>
    </w:p>
    <w:p>
      <w:pPr>
        <w:widowControl/>
      </w:pPr>
      <w:r>
        <w:t>Values and attitudes differ in their level of abstraction. In Schwartz's framework, values express broad motivational priorities that can apply across situations, whereas an attitude concerns the evaluation of a more particular object or practice (Schwartz, 1992; Sagiv &amp; Schwartz, 2022). A person can consider concern for others important in general and still face uncertainty about the desirability of a specific business decision. Conversely, endorsement of a management practice need not identify the motivation behind that endorsement. Treating the two domains separately therefore permits a more informative question than whether respondents simply express favourable views: it asks how broad priorities relate to particular evaluations and personal self-descriptions.</w:t>
      </w:r>
    </w:p>
    <w:p>
      <w:pPr>
        <w:widowControl/>
      </w:pPr>
      <w:r>
        <w:t>Universalism and Benevolence provide related but distinguishable motivational points of reference. Universalism concerns wider human welfare, equality, justice and the natural environment; Benevolence focuses more directly on the welfare of people with whom one is in regular contact (Schwartz, 1992). In the present conceptual interpretation, this difference in scope makes both relevant without making them interchangeable. Sustainability items addressing social and ecological interdependence may connect with a broad concern extending beyond immediate relationships. Self-descriptions of supporting someone in distress may connect with concern enacted in interpersonal settings. These are reasons to examine the responses, not evidence that any particular coefficient must be larger or that a value operates only within one setting.</w:t>
      </w:r>
    </w:p>
    <w:p>
      <w:pPr>
        <w:widowControl/>
      </w:pPr>
      <w:r>
        <w:t>Power and Achievement introduce priorities concerning status, influence and success. Their inclusion enables an exploratory examination of motivations that are often grouped under self-enhancement, alongside the other-oriented priorities represented by Universalism and Benevolence (Schwartz, 1992). Those labels are not moral classifications of respondents. A preference for achievement does not by itself specify whether the desired achievement is socially beneficial, and a concern with influence does not identify the purpose for which influence would be used. Accordingly, the analysis does not assign favourable or unfavourable signs in advance to all their associations. The four portraits represent selected motivational content; they are not an exhaustive assessment of the value system.</w:t>
      </w:r>
    </w:p>
    <w:p>
      <w:pPr>
        <w:widowControl/>
      </w:pPr>
      <w:r>
        <w:t>The sustainability domain is more specifically defined by ASP-S. Prialé et al. (2024) describe SC in relation to systemic interdependence and SBL in relation to sustainable business leadership. Their item content connects sustainability to business, society and the environment. These labels provide the starting point for the present analysis, while the retained items delimit what is actually measured. They do not establish that SC is a test of systems-thinking ability or that SBL measures demonstrated leadership competence. In particular, agreement with a statement about how business should relate to society remains an attitudinal response even when that statement uses action-oriented language.</w:t>
      </w:r>
    </w:p>
    <w:p>
      <w:pPr>
        <w:widowControl/>
      </w:pPr>
      <w:r>
        <w:t>The distinction between the domains is substantive only to the extent that their indicators support it. Items concerning a firm's social purpose or relationship with its community can contain content relevant to more than one sustainability dimension. When such overlap is forced into separate simple-structure factors, an apparent domain-specific association may depend on the constraints defining the factors. Cross-loadings offer one way to examine this possibility, while alternative representations examine how common and more specific variation are allocated (Asparouhov &amp; Muthén, 2009; Eid et al., 2017). The purpose is to qualify the meaning of the associations, rather than to treat improved global fit as proof that one conceptual account is correct.</w:t>
      </w:r>
    </w:p>
    <w:p>
      <w:pPr>
        <w:widowControl/>
      </w:pPr>
      <w:r>
        <w:t>The three prosocial responses concern practical helping, sharing and empathic support in personal life. Studying them individually retains differences in what respondents are asked to describe. Helping can involve offering assistance, sharing concerns making something available to others, and empathic support involves recognising distress together with understanding and helping. These contents are close enough to motivate examination of their shared variation, but a three-item common factor does not erase their wording differences. Conversely, analysing the responses separately does not establish three latent traits. We use PSB for their common factor when fitted together and retain the individual responses in the complementary analysis.</w:t>
      </w:r>
    </w:p>
    <w:p>
      <w:pPr>
        <w:widowControl/>
      </w:pPr>
      <w:r>
        <w:t>The connection between sustainability attitudes and these personal self-descriptions is relevant precisely because the settings differ. Business-related statements concern organisational purposes and responsibilities, whereas the prosocial items concern respondents' accounts of their personal lives. An association across them can indicate that endorsed concern for others extends across questionnaire domains. It cannot demonstrate that someone who describes personal helpfulness will make a responsible organisational decision under pressure. Research with Spanish university students has also examined anticipated conflicts between their own and organisational values (Barrena-Martinez et al., 2016). Managerial action may involve conflicts among stakeholder interests, institutional constraints and consequences that are absent from a short self-description. The analysis therefore examines cross-domain consistency in reported orientations, not equivalence between interpersonal kindness and sustainable management.</w:t>
      </w:r>
    </w:p>
    <w:p>
      <w:pPr>
        <w:widowControl/>
      </w:pPr>
      <w:r>
        <w:t>A second possibility is that part of the connection arises from how these orientations are reported. Shared evaluative wording, a general tendency to agree, or the wish to describe oneself favourably could contribute to covariance in a single questionnaire. Common-method influences can be complex and need not affect every relationship equally (Podsakoff et al., 2024). The measurement sensitivities address selected aspects of how the responses are represented, but they do not isolate all reporting processes. This leaves room for substantive and response-related explanations to coexist. The question is how much the available evidence can support about the proposed connection while those alternatives remain unresolved.</w:t>
      </w:r>
    </w:p>
    <w:p>
      <w:pPr>
        <w:widowControl/>
      </w:pPr>
      <w:r>
        <w:t>The value–attitude–behaviour hierarchy offers an organising rationale for linking broad motivations with more specific evaluations and responses (Homer &amp; Kahle, 1988). A systematic review likewise examines empirical relationships among basic human values, attitudes and behaviour (Nazirova &amp; Simonovits, 2024). Here its role is conceptual: it identifies domains whose relationships merit examination. The structural equations do not establish the temporal sequence implied by the hierarchy, and the measured outcome is a self-description rather than observed conduct. Cross-sectional indirect products can summarise covariance through the fitted attitude variables, but they cannot identify a longitudinal mediating process (Maxwell &amp; Cole, 2007). The useful distinction is between a theoretically informed arrangement of associations and evidence that one domain changes another over time.</w:t>
      </w:r>
    </w:p>
    <w:p>
      <w:pPr>
        <w:widowControl/>
      </w:pPr>
      <w:r>
        <w:t>Conditional association and incremental prediction then ask different questions about that arrangement. An adjusted coefficient concerns the relationship between a predictor and response within a specified model and set of covariates. Incremental prediction asks whether adding information improves performance for held-out responses relative to an existing benchmark. A value portrait could retain an association yet contribute little predictive information once a larger set of correlated sustainability responses is available. Conversely, predictive improvement would not identify a causal pathway. Evaluating the four portraits as a block also means that any improvement belongs to the block under that comparison; it cannot be assigned to Benevolence or another individual value without a different analysis.</w:t>
      </w:r>
    </w:p>
    <w:p>
      <w:pPr>
        <w:widowControl/>
      </w:pPr>
      <w:r>
        <w:t>This distinction is especially consequential for interpreting small predictive differences. The benchmark conditions on the available sustainability items, course-attendance response and controls, so it evaluates additional information rather than the full relevance of values. Limited improvement is compatible with information already represented in the benchmark, imprecise brief measures or a restricted range of responses; these remain possible interpretations rather than established explanations. The theoretical contribution is therefore to connect the domains while keeping their evidential roles distinct. Association, measurement sensitivity and internal prediction together specify what the current questionnaires reveal, and where conclusions require evidence beyond them.</w:t>
      </w:r>
    </w:p>
    <w:p>
      <w:pPr>
        <w:pStyle w:val="Heading1"/>
        <w:keepNext/>
        <w:widowControl/>
      </w:pPr>
      <w:r>
        <w:rPr>
          <w:color w:val="000000"/>
        </w:rPr>
        <w:t>Method</w:t>
      </w:r>
    </w:p>
    <w:p>
      <w:pPr>
        <w:pStyle w:val="Heading2"/>
        <w:keepNext/>
        <w:widowControl/>
      </w:pPr>
      <w:r>
        <w:t>Participants and measures</w:t>
      </w:r>
    </w:p>
    <w:p>
      <w:pPr>
        <w:widowControl/>
      </w:pPr>
      <w:r>
        <w:t>This is a secondary analysis of the same sample used to develop ASP-S, with additional archived variables analysed here. The convenience sample comprises undergraduate and graduate business/economics students at one institution each in Argentina (144), Colombia (168), Peru (163), and Mexico (178). Economics and administration teachers distributed an online Spanish-language questionnaire link in the four schools described by Prialé et al. (2024). The archived analytical file contains 653 records, all complete for the variables used here; no additional record was excluded through complete-case analysis. Invitation and initial-response denominators and a complete recruitment log are unavailable, so a response rate and the number excluded before archiving cannot be reconstructed. Ages were 16–60 years (M=25.34, SD=8.69); 50 respondents were younger than 18. The original questionnaire used informed consent. The authors confirm university authorisation, including participation by minors, and that applicable ethical and consent requirements for collection and secondary analysis have been addressed. One institution per country confounds institutional and country differences.</w:t>
      </w:r>
    </w:p>
    <w:p>
      <w:pPr>
        <w:widowControl/>
      </w:pPr>
      <w:r>
        <w:t>CSR1 records recalled attendance at a university course in ethics and/or corporate social responsibility (CSR), coded no=0/yes=1; the archived question does not specify sustainability, content, dose, timing or pedagogy. Four six-category portraits represent Universalism, Benevolence, Power and Achievement separately (Oceja et al., 2019). Earlier structural scripts already used these four portraits. They are retained individually here to avoid imposing two-indicator value factors. Reconstructed two-portrait composites paired Benevolence with Universalism (alpha .369) and Power with Achievement (alpha .617). The published study administered the RSVS-11, covering the ten basic values and the transcendental-change profile. The present focus on self-transcendence and self-enhancement remains exploratory; the archive does not establish that selection of these four rather than the complete value system preceded inspection of the data.</w:t>
      </w:r>
    </w:p>
    <w:p>
      <w:pPr>
        <w:widowControl/>
      </w:pPr>
      <w:r>
        <w:t>ASP-S retains the published ten SC and nine SBL indicators; the three items removed during scale development remain excluded. Its indicators retain their archived APS codes. PP1–PP3 are the existing three-item analytical selection from a six-item PP bank documented in the original SPSS variable dictionaries and codebook. They describe practical helping, sharing and empathic support in personal life. The PP anchors run from strongly disagree to strongly agree over five ordered categories. Earlier manuscript versions attributed the bank to Vera Ruiz et al. (2022), whose published study describes six productive-prosociality items. The original administration form and records establishing the exact item mapping, student adaptation and three-item selection were unavailable. ASP-S also uses five ordered categories. No indicator was added or removed in the present reanalysis. The published ASP-S questionnaire description alone does not establish the administration or adaptation of PP1–PP3 or CSR1.</w:t>
      </w:r>
    </w:p>
    <w:p>
      <w:pPr>
        <w:widowControl/>
      </w:pPr>
      <w:r>
        <w:t>The primary analysis retains all 653 records. Two sets of identical response records contain five entries, corresponding to three subsequent matching copies; respondent identity is not established. Thirty-five records give one constant response across the 22 retained ASP-S/PP items. Separate and joint omission sensitivities use N=650, 618 and 615, preserving the primary data. A constant profile does not establish inattention. For prediction, all members of an identical-record set remain in the same training or evaluation partition. The same item allocation, model equations and focal coefficient families are retained across sensitivities. Table S22 supplies sample characteristics overall and by institution; the expanded dictionary identifies the raw and analytical codes.</w:t>
      </w:r>
    </w:p>
    <w:p>
      <w:pPr>
        <w:pStyle w:val="Heading2"/>
        <w:keepNext/>
        <w:widowControl/>
      </w:pPr>
      <w:r>
        <w:t>Measurement and structural models</w:t>
      </w:r>
    </w:p>
    <w:p>
      <w:pPr>
        <w:widowControl/>
      </w:pPr>
      <w:r>
        <w:t>Confirmatory factor analysis (CFA) compares the measurement structure; structural equation modelling (SEM) adds the specified regressions. M2 is retained as the structural reference because its two cross-loadings address documented item content while preserving the published ASP-S domains. M0 embeds the published two-factor ASP-S allocation in the present three-factor measurement model, adding PSB and retaining the P3 structural equations. M1 combines the 19 sustainability items. M2 adds APS2 on SBL and APS13 on SC; M3 additionally cross-loads APS14 and APS18. M4/M5 are S−1 models with SC/SBL as the respective reference domains; orthogonality concerns factors in CFA and disturbances in SEM. M6 uses oblique target ESEM for the 19 sustainability items. PSB remains a three-item factor in these comparisons. M0, M1 and M3–M6 provide measurement sensitivities; Supplementary material documents content and allocation.</w:t>
      </w:r>
    </w:p>
    <w:p>
      <w:pPr>
        <w:widowControl/>
      </w:pPr>
      <w:r>
        <w:t>APS2 links profitability to social justice, while APS13 links business to community understanding, motivating reciprocal cross-loadings. Fixing plausible cross-loadings to zero can affect factor correlations and adjusted associations; ESEM supplies a rotation-dependent comparison (Asparouhov &amp; Muthén, 2009). S−1 represents reliable specific variation relative to a reference domain, so its residual factor is not interchangeable with the original attitude (Eid et al., 2017). The labels M0–M6 identify the present specifications and are separate from the invariance-model labels used in Prialé et al. (2024).</w:t>
      </w:r>
    </w:p>
    <w:p>
      <w:pPr>
        <w:widowControl/>
      </w:pPr>
      <w:r>
        <w:t>M2 estimated by maximum likelihood with robust standard errors and test statistics (MLR) is the structural reference. Figure 1 displays the fitted factor-PSB specification: four separate observed value portraits, SC and SBL measured by the retained ASP-S items, and PSB measured by PP1–PP3. CSR1 predicts each value, each attitude factor and PSB; the values predict both attitudes and PSB, and both attitudes predict PSB. Seven controls enter each structural regression: three institution/country indicators (Colombia, Peru and Mexico, with Argentina as reference), sex (man=0/woman=1), study level (undergraduate=0/postgraduate=1), standardised age and standardised socioeconomic level. The figure distinguishes the estimated residual covariances from the directional regressions. Complete M2 loadings, correlations and paths under MLR and WLSMV are provided in the supplement. Other specifications and weighted least squares with mean- and variance-adjusted test statistics (WLSMV) provide sensitivities. Ordinal CFA and its MLR comparator assess measurement on their respective response scales (Li, 2016). R 4.6.1 and lavaan 0.7-2 were used. Numerical admissibility accompanies global fit (McDonald &amp; Ho, 2002; Nye &amp; Drasgow, 2011). PSB diagnostics distinguish numeric scores from ordinal latent responses; cross-loaded SC/SBL receive no conventional AVE (Fornell &amp; Larcker, 1981; Henseler et al., 2015).</w:t>
      </w:r>
    </w:p>
    <w:p>
      <w:pPr>
        <w:pStyle w:val="Heading2"/>
        <w:keepNext/>
        <w:widowControl/>
      </w:pPr>
      <w:r>
        <w:t>Multiplicity and analytical chronology</w:t>
      </w:r>
    </w:p>
    <w:p>
      <w:pPr>
        <w:widowControl/>
      </w:pPr>
      <w:r>
        <w:t>Pointwise robust intervals are conditional on each specification. Focal SEM Holm families contain 21 paths and 16 indirect quantities, or 15 and 11 for M1. The individual-response extension retains M2 measurement and the upstream equations, replacing the latent PSB factor with correlated observed PP1–PP3 outcomes. Table 3 reports all six focal predictors for each response. Its 18 individual paths use one Holm18 family per estimator; six joint three-path tests use Holm6. Six MLR equality tests compare slopes in common observed 1–5 units with Holm6. Ordinal slopes are not equated substantively across items. These adjustments operate within each fitted model and do not account for selection of a specification or the sequence of analyses. Regression families use unstandardised tests. For the 16 defined indirect quantities, the original Holm adjustment uses the delta-method tests of standardised quantities; both scales and the alternative unstandardised audit are retained in Table S29 and its CSVs.</w:t>
      </w:r>
    </w:p>
    <w:p>
      <w:pPr>
        <w:widowControl/>
      </w:pPr>
      <w:r>
        <w:t>The cumulative-probit common-slope restriction was examined in 12 planned partial likelihood-ratio comparisons: each of the four value portraits separately for each PP outcome. Other B2 slopes remained common. Holm adjustment spans all 12 planned comparisons; numerical failures are reported as non-evaluable. This diagnostic does not test the proportionality of the 19 sustainability items or demographic controls.</w:t>
      </w:r>
    </w:p>
    <w:p>
      <w:pPr>
        <w:widowControl/>
      </w:pPr>
      <w:r>
        <w:t>The chronology distinguishes the original published item allocation, earlier structural and measurement comparisons, the individual-response/ordinal extension, and subsequent quality and prediction diagnostics. Earlier results were known when later protocols were recorded. Documentation before an additional fit does not turn this secondary analysis into preregistered or independent confirmation. M2 is retained because its two cross-loadings address the wording of APS2 and APS13 while preserving the published domains; fit and numerical diagnostics qualify this content rationale rather than determine the reference model alone.</w:t>
      </w:r>
    </w:p>
    <w:p>
      <w:pPr>
        <w:pStyle w:val="Heading2"/>
        <w:keepNext/>
        <w:widowControl/>
      </w:pPr>
      <w:r>
        <w:t>Conditional prediction</w:t>
      </w:r>
    </w:p>
    <w:p>
      <w:pPr>
        <w:widowControl/>
      </w:pPr>
      <w:r>
        <w:t>Observed prediction models use B3, comprising CSR1, seven demographic/institution controls and the 19 ASP-S items, and B2, which adds the four value portraits. Fixed cumulative-probit and ordinary least squares (OLS) models use the same five grouped folds repeated five times. Identical-record sets remain together, and each model pair is evaluated on the same records. Training-only scaling prevents evaluation data from determining preprocessing. Expected scores yield root mean squared error (RMSE) and mean absolute error (MAE); normalised ranked probability score (RPS) assesses cumulative probabilities (Gneiting &amp; Raftery, 2007). The cumulative-probit model assumes common slopes across thresholds. Sparse or absent training categories can produce zero probabilities and infinite raw log loss, so finite expected-score errors alone are insufficient evidence of adequate probability estimates.</w:t>
      </w:r>
    </w:p>
    <w:p>
      <w:pPr>
        <w:widowControl/>
      </w:pPr>
      <w:r>
        <w:t>A complementary five-category multinomial model uses a linear softmax with ridge penalties on all slopes and intercepts. Both B3 and B2 are fitted from scratch. The penalty is selected from .001, .01 and .1 by normalised RPS in two inner grouped, institution-stratified training folds; outer evaluation uses the same five grouped folds repeated five times. Scaling and tuning use training data only. Penalised intercepts preserve positive probabilities for all five prespecified categories even when a training category is absent.</w:t>
      </w:r>
    </w:p>
    <w:p>
      <w:pPr>
        <w:widowControl/>
      </w:pPr>
      <w:r>
        <w:t>For paired uncertainty, 200 bootstrap samples draw identical-record groups with replacement within the four observed institutions. Both models are retrained and retuned in each sample, and evaluated on the same out-of-bag (OOB) groups, which were not drawn into that training sample. We report the mean paired difference and the 2.5–97.5 percentile resampling range, conditional on these institutions and exchangeability of groups within them. These ranges are not coverage-validated population confidence intervals. Their point estimates are separate from cross-validation means because training sample sizes differ. A leave-one-institution-out sensitivity fits without institution indicators and is described as transport within this dataset, not independent external validation.</w:t>
      </w:r>
    </w:p>
    <w:p>
      <w:pPr>
        <w:pStyle w:val="Heading1"/>
        <w:keepNext/>
        <w:widowControl/>
      </w:pPr>
      <w:r>
        <w:rPr>
          <w:color w:val="000000"/>
        </w:rPr>
        <w:t>Results</w:t>
      </w:r>
    </w:p>
    <w:p>
      <w:pPr>
        <w:pStyle w:val="Heading2"/>
        <w:keepNext/>
        <w:widowControl/>
      </w:pPr>
      <w:r>
        <w:t>Measurement and adjusted associations</w:t>
      </w:r>
    </w:p>
    <w:p>
      <w:pPr>
        <w:widowControl/>
      </w:pPr>
      <w:r>
        <w:t>All 14 full-sample MLR fits (seven CFA and seven SEM) converged and passed the numerical checks reported in the supplement. A common attitude fitted less well. M2 modestly improved fit and reduced the SC–SBL CFA correlation from .808 to .778. More flexible or substantively different models also improved fit. Table 1 describes structural fit under alternative measurement specifications; Table S1 reports measurement-only fit. Table 2 presents selected adjusted associations with pointwise intervals. The supplement separately reports complete M2 measurement and structural estimates by model and estimator. Numerical convergence, local identification and global fit are assessed separately. These comparisons concern the present prosocial extension, rather than a reproduction of the published two-factor CFA.</w:t>
      </w:r>
    </w:p>
    <w:p>
      <w:pPr>
        <w:widowControl/>
      </w:pPr>
      <w:r>
        <w:t>M6 reduced SC–SBL correlation to .701 and improved global fit, with SC emphasising ecological interdependence and SBL moral purpose. Rotation and cross-loadings affect these meanings; negative cross-loadings are conditional contrasts. Simple-structure numeric-score CFA AVE remained below .50. S−1 specific-component reliability was .315/.271, limiting claims of strong distinct domains. Historical squared-loading averages and current variance-weighted AVE differ by definition.</w:t>
      </w:r>
    </w:p>
    <w:p>
      <w:pPr>
        <w:widowControl/>
      </w:pPr>
      <w:r>
        <w:t>Universalism–SC/SBL and SBL–PSB associations survived within-model Holm adjustment in M0, M2 and M6; SC–PSB did not. CSR1 lacked clear adjusted associations with values. Selected estimates and pointwise intervals appear in Table 2; the archive retains every path.</w:t>
      </w:r>
    </w:p>
    <w:p>
      <w:pPr>
        <w:widowControl/>
      </w:pPr>
      <w:r>
        <w:t>Universalism’s summed indirect association remained approximately .25. Power–SBL and Benevolence–PSB survived Holm in M6 but not M0/M2. These specification-dependent thresholds support transparent reporting rather than model choice for significance. Indirect quantities remain cross-sectional associations.</w:t>
      </w:r>
    </w:p>
    <w:p>
      <w:pPr>
        <w:widowControl/>
      </w:pPr>
      <w:r>
        <w:t>M2 remains the minimal content-motivated structural reference. M6 and the S−1 specifications illustrate how cross-loadings and reference-domain choices alter interpretation. The observed-response prediction benchmarks address a separate question from the latent structural associations and use grouped partitions to avoid splitting identical response records.</w:t>
      </w:r>
    </w:p>
    <w:p>
      <w:pPr>
        <w:pStyle w:val="Heading2"/>
        <w:keepNext/>
      </w:pPr>
      <w:r>
        <w:t>Individual prosocial responses</w:t>
      </w:r>
    </w:p>
    <w:p>
      <w:pPr>
        <w:widowControl/>
      </w:pPr>
      <w:r>
        <w:t>Both individual-response models are numerically admissible. Table 3 presents all 18 focal MLR associations; Tables S6–S8 retain the joint tests, the same MLR estimates and the complete ordinal comparison. SBL relates positively to PP1–PP3 after Holm18 under both estimators. Benevolence has a joint association (Holm6 p=.008 MLR; p&lt;.001 WLSMV) and a supported PP3 slope: MLR b=.183 [.086, .281], β=.166; probit b=.269 [.175, .363], β=.164. The intervals in this sentence belong to the unstandardised b estimates; Table 3 supplies β with their own standardised intervals. Other focal predictors lack supported joint associations. Heterogeneity remains unsupported after Holm6, including Benevolence (p=.215). The supported PP3 slope does not establish a larger association than for PP1 or PP2.</w:t>
      </w:r>
    </w:p>
    <w:p>
      <w:pPr/>
      <w:r>
        <w:t>The contrast between SBL and SC should be read in the context of their shared variance. The individual-response specification conditions each response on both factors, the four values and the other covariates. Consequently, a weak unique SC coefficient does not establish that systemic consciousness has no relationship with prosociality. Likewise, the three point estimates for a predictor do not establish differences between helping, sharing and empathic support. The equality tests in Table S6 evaluate those differences on the common observed scale; the full coefficient pattern in Table 3 is reported regardless of individual significance.</w:t>
      </w:r>
    </w:p>
    <w:p>
      <w:pPr>
        <w:pStyle w:val="Heading2"/>
        <w:keepNext/>
        <w:widowControl/>
      </w:pPr>
      <w:r>
        <w:t>Incremental prediction</w:t>
      </w:r>
    </w:p>
    <w:p>
      <w:pPr>
        <w:widowControl/>
      </w:pPr>
      <w:r>
        <w:t>In the grouped cumulative-probit benchmark, adding the four-value block after the 19 sustainability items changes mean RMSE by −0.29%, +0.61% and −0.70% for PP1–PP3, respectively. OLS changes are −0.54%, +0.55% and −0.81%. Thus the values provide small, uneven incremental information conditional on CSR1, demographic/institution controls and the observed sustainability responses. These comparisons concern the four-value block jointly and cannot isolate the contribution of Benevolence. Table 4 and the supplementary prediction analyses report absolute errors, paired relative differences and probability scoring.</w:t>
      </w:r>
    </w:p>
    <w:p>
      <w:pPr>
        <w:widowControl/>
      </w:pPr>
      <w:r>
        <w:t>All 12 partial common-slope comparisons met their numerical criteria; none survived Holm12 adjustment (smallest adjusted p=.466). This absence of detected value-specific departures is not validation of the whole cumulative-probit model, especially with rare response categories (Tables S15–S16).</w:t>
      </w:r>
    </w:p>
    <w:p>
      <w:pPr>
        <w:widowControl/>
      </w:pPr>
      <w:r>
        <w:t>The five-category ridge comparison changed cross-validated RMSE by -0.63%, +0.69%, -1.06% for PP1–PP3 (Table S17). It preserves positive probabilities for rare or absent training categories but again shows outcome-dependent incremental information. Positive probabilities did not guarantee calibration: mean predicted probability for category 1 was approximately 3%, compared with observed frequencies of 0.3–0.6% (Table S19). Table S18 reports paired differences after full retraining and retuning; its conditional OOB resampling ranges are kept separate from cross-validation point estimates. Institution-held-out results appear in Table S20.</w:t>
      </w:r>
    </w:p>
    <w:p>
      <w:pPr>
        <w:widowControl/>
      </w:pPr>
      <w:r>
        <w:t>All nine OOB resampling ranges (three outcomes × three metrics) included zero. This variability does not support a consistently beneficial value block in these conditional exercises. In the institution-held-out cumulative-probit analysis, pooled RMSE changed by −0.23%, −0.04% and −0.66% for PP1–PP3, and each item improved in only two of the four held-out institutions. These results qualify the small mean gains without providing a population test or external validation.</w:t>
      </w:r>
    </w:p>
    <w:p>
      <w:pPr>
        <w:pStyle w:val="Heading2"/>
        <w:keepNext/>
        <w:widowControl/>
      </w:pPr>
      <w:r>
        <w:t>Ordinal estimation and sensitivity analyses</w:t>
      </w:r>
    </w:p>
    <w:p>
      <w:pPr>
        <w:widowControl/>
      </w:pPr>
      <w:r>
        <w:t>M2 ordinal CFA has PSB AVE=.556 on the latent-response scale and observed-score reliability=.730; MLR AVE=.458 and reliability=.716 concern numeric scores. Ordinal robust CFI=.897/RMSEA=.088 and SC–SBL r=.832 constrain validity claims; scaled indices are separately reported. Higher ordinal AVE does not establish resolved convergent or discriminant validity. M2 SEM retains positive SBL–PSB and unsupported SC–PSB under both estimators; Benevolence–PSB survives Holm only under WLSMV (archived factor-SEM coefficients).</w:t>
      </w:r>
    </w:p>
    <w:p>
      <w:pPr>
        <w:widowControl/>
      </w:pPr>
      <w:r>
        <w:t>Separate and joint omission sensitivities retained positive SBL associations with all three PP outcomes and the joint Benevolence/PP3 findings. Benevolence–PP3 b ranged from .183 to .211 under MLR and .269 to .303 under WLSMV, with pointwise intervals reported in Table S13. Omitting constant profiles reduced observed-score PSB reliability to approximately .69 under MLR and .70 under ordinal measurement, rather than repairing measurement quality (Tables S12–S14).</w:t>
      </w:r>
    </w:p>
    <w:p>
      <w:pPr>
        <w:widowControl/>
      </w:pPr>
      <w:r>
        <w:t>Ordinal results further qualify interpretation. M6 WLSMV CFA had robust CFI=.925, TLI=.908 and RMSEA=.078; scaled CFI=.977 and RMSEA=.054 are distinct calculations. Its WLSMV SEM warned that the information matrix required for the robust global test could not be inverted, leaving robust and scaled global indices unavailable. The model-implied total SC–SBL correlation was .914. This fit cannot serve as ordinal structural confirmation. Across institutions, MLR configural CFI was .879 for M0 and .884 for M2. M6 target ESEM improved configural fit (CFI=.920, RMSEA=.064, SRMR=.054), but metric invariance evidence was mixed and scalar invariance was not supported. These M6 findings do not establish comparability of M2, and no national path or latent-mean comparisons are made (Chen, 2007).</w:t>
      </w:r>
    </w:p>
    <w:p>
      <w:pPr>
        <w:widowControl/>
      </w:pPr>
      <w:r>
        <w:t>The 28-fit audit found one curvature exception: M6 ordinal SEM. After its two active rotation restrictions, the derivative and expected information have full rank 212/212, so their unprojected rank is not evidence of underidentification. The projected observed Hessian nevertheless has a negative eigenvalue (−0.05098), alongside the unavailable robust global test. This combination prevents treating the solution as ordinal structural confirmation despite convergence and finite standard errors (Tables S10–S11).</w:t>
      </w:r>
    </w:p>
    <w:p>
      <w:pPr>
        <w:spacing w:after="0" w:before="0" w:line="240" w:lineRule="auto"/>
        <w:sectPr>
          <w:footerReference w:type="default" r:id="rId9"/>
          <w:type w:val="nextPage"/>
          <w:pgSz w:w="12240" w:h="15840"/>
          <w:pgMar w:top="1440" w:bottom="1440" w:left="1440" w:right="1440" w:header="360" w:footer="360" w:gutter="0"/>
        </w:sectPr>
      </w:pPr>
      <w:r>
        <w:rPr>
          <w:sz w:val="2"/>
        </w:rPr>
      </w:r>
    </w:p>
    <w:p>
      <w:pPr>
        <w:pStyle w:val="Caption"/>
        <w:keepNext/>
      </w:pPr>
      <w:r>
        <w:t>Figure 1 M2 structural and measurement specification</w:t>
      </w:r>
    </w:p>
    <w:p>
      <w:pPr>
        <w:spacing w:after="40" w:line="240" w:lineRule="auto"/>
        <w:jc w:val="center"/>
      </w:pPr>
      <w:r>
        <w:drawing>
          <wp:inline xmlns:a="http://schemas.openxmlformats.org/drawingml/2006/main" xmlns:pic="http://schemas.openxmlformats.org/drawingml/2006/picture">
            <wp:extent cx="7863840" cy="5746652"/>
            <wp:docPr id="1" name="Picture 1"/>
            <wp:cNvGraphicFramePr>
              <a:graphicFrameLocks noChangeAspect="1"/>
            </wp:cNvGraphicFramePr>
            <a:graphic>
              <a:graphicData uri="http://schemas.openxmlformats.org/drawingml/2006/picture">
                <pic:pic>
                  <pic:nvPicPr>
                    <pic:cNvPr id="0" name="Figure_M2_verified_600dpi.png"/>
                    <pic:cNvPicPr/>
                  </pic:nvPicPr>
                  <pic:blipFill>
                    <a:blip r:embed="rId10"/>
                    <a:stretch>
                      <a:fillRect/>
                    </a:stretch>
                  </pic:blipFill>
                  <pic:spPr>
                    <a:xfrm>
                      <a:off x="0" y="0"/>
                      <a:ext cx="7863840" cy="5746652"/>
                    </a:xfrm>
                    <a:prstGeom prst="rect"/>
                  </pic:spPr>
                </pic:pic>
              </a:graphicData>
            </a:graphic>
          </wp:inline>
        </w:drawing>
      </w:r>
    </w:p>
    <w:p>
      <w:pPr>
        <w:spacing w:after="120" w:line="252" w:lineRule="auto"/>
      </w:pPr>
      <w:r>
        <w:rPr>
          <w:sz w:val="19"/>
        </w:rPr>
        <w:t>Panel A shows the 21 focal regressions; panel B shows measurement, with SC → APS13 and SBL → APS2 as the two cross-loadings. Rectangles denote observed variables and ovals denote latent factors; the four value portraits are separate observed variables. Grouped boxes abbreviate individual indicators, not composites. Seven controls enter each equation for the four values, SC, SBL and PSB: three institutional indicators, sex, study level, standardized age and socioeconomic level. Six residual covariances among values and the SC–SBL disturbance covariance are estimated but omitted; residual variances, intercepts and fixed exogenous moments are also omitted. APS1, APS11 and PP1 are marker loadings fixed to 1. Colors identify arrow families, not significance. Arrows denote cross-sectional associations, not causality or temporal order.</w:t>
      </w:r>
    </w:p>
    <w:p>
      <w:pPr>
        <w:spacing w:after="0" w:before="0" w:line="240" w:lineRule="auto"/>
        <w:sectPr>
          <w:footerReference w:type="default" r:id="rId9"/>
          <w:type w:val="nextPage"/>
          <w:pgSz w:w="15840" w:h="12240" w:orient="landscape"/>
          <w:pgMar w:top="504" w:bottom="504" w:left="504" w:right="504" w:header="360" w:footer="360" w:gutter="0"/>
        </w:sectPr>
      </w:pPr>
      <w:r>
        <w:rPr>
          <w:sz w:val="2"/>
        </w:rPr>
      </w:r>
    </w:p>
    <w:p>
      <w:pPr>
        <w:pStyle w:val="Caption"/>
        <w:keepNext/>
        <w:widowControl/>
      </w:pPr>
      <w:r>
        <w:rPr>
          <w:color w:val="000000"/>
        </w:rPr>
        <w:t>Table 1 Structural fit under seven measurement specifications</w:t>
      </w:r>
    </w:p>
    <w:tbl>
      <w:tblPr>
        <w:tblW w:type="auto" w:w="0"/>
        <w:jc w:val="center"/>
        <w:tblLayout w:type="fixed"/>
        <w:tblLook w:firstColumn="1" w:firstRow="1" w:lastColumn="0" w:lastRow="0" w:noHBand="0" w:noVBand="1" w:val="04A0"/>
      </w:tblPr>
      <w:tblGrid>
        <w:gridCol w:w="2808"/>
        <w:gridCol w:w="1512"/>
        <w:gridCol w:w="1656"/>
        <w:gridCol w:w="1440"/>
        <w:gridCol w:w="1944"/>
      </w:tblGrid>
      <w:tr>
        <w:trPr>
          <w:cantSplit/>
          <w:tblHeader/>
        </w:trPr>
        <w:tc>
          <w:tcPr>
            <w:tcW w:type="dxa" w:w="2808"/>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Model</w:t>
            </w:r>
          </w:p>
        </w:tc>
        <w:tc>
          <w:tcPr>
            <w:tcW w:type="dxa" w:w="151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CFI robust</w:t>
            </w:r>
          </w:p>
        </w:tc>
        <w:tc>
          <w:tcPr>
            <w:tcW w:type="dxa" w:w="165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RMSEA robust</w:t>
            </w:r>
          </w:p>
        </w:tc>
        <w:tc>
          <w:tcPr>
            <w:tcW w:type="dxa" w:w="1440"/>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SRMR</w:t>
            </w:r>
          </w:p>
        </w:tc>
        <w:tc>
          <w:tcPr>
            <w:tcW w:type="dxa" w:w="1944"/>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npar</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M0 Baseline</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0.906</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0.049</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0.040</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151</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M1 One attitude</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0.853</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0.060</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0.045</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137</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M2 Two bridges</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0.910</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0.048</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0.039</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153</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M3 Four bridges</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0.916</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0.046</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0.038</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155</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M4 SC reference S1</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0.920</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0.046</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0.036</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159</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M5 SBL reference S1</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0.927</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0.043</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0.035</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160</w:t>
            </w:r>
          </w:p>
        </w:tc>
      </w:tr>
      <w:tr>
        <w:trPr>
          <w:cantSplit/>
        </w:trPr>
        <w:tc>
          <w:tcPr>
            <w:tcW w:type="dxa" w:w="2808"/>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M6 ESEM</w:t>
            </w:r>
          </w:p>
        </w:tc>
        <w:tc>
          <w:tcPr>
            <w:tcW w:type="dxa" w:w="151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0.936</w:t>
            </w:r>
          </w:p>
        </w:tc>
        <w:tc>
          <w:tcPr>
            <w:tcW w:type="dxa" w:w="165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0.041</w:t>
            </w:r>
          </w:p>
        </w:tc>
        <w:tc>
          <w:tcPr>
            <w:tcW w:type="dxa" w:w="1440"/>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0.031</w:t>
            </w:r>
          </w:p>
        </w:tc>
        <w:tc>
          <w:tcPr>
            <w:tcW w:type="dxa" w:w="1944"/>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168</w:t>
            </w:r>
          </w:p>
        </w:tc>
      </w:tr>
    </w:tbl>
    <w:p>
      <w:pPr>
        <w:keepLines/>
        <w:widowControl/>
        <w:spacing w:line="240" w:lineRule="auto" w:before="60" w:after="160"/>
      </w:pPr>
      <w:r>
        <w:rPr>
          <w:sz w:val="21"/>
        </w:rPr>
        <w:t>N=653 for all full-sample MLR models. CFI and RMSEA are robust indices; SRMR is reported separately. Parameters count the fitted structural specification. Fit indices describe model discrepancies and do not establish construct validity. Measurement fit, identification constraints and numerical diagnostics are reported in the supplement.</w:t>
      </w:r>
    </w:p>
    <w:p>
      <w:pPr>
        <w:pStyle w:val="Caption"/>
        <w:keepNext/>
        <w:widowControl/>
      </w:pPr>
      <w:r>
        <w:rPr>
          <w:color w:val="000000"/>
        </w:rPr>
        <w:t>Table 2 Selected adjusted associations across baseline bridge and ESEM specifications</w:t>
      </w:r>
    </w:p>
    <w:tbl>
      <w:tblPr>
        <w:tblW w:type="auto" w:w="0"/>
        <w:jc w:val="center"/>
        <w:tblLayout w:type="fixed"/>
        <w:tblLook w:firstColumn="1" w:firstRow="1" w:lastColumn="0" w:lastRow="0" w:noHBand="0" w:noVBand="1" w:val="04A0"/>
      </w:tblPr>
      <w:tblGrid>
        <w:gridCol w:w="2880"/>
        <w:gridCol w:w="2160"/>
        <w:gridCol w:w="2160"/>
        <w:gridCol w:w="2160"/>
      </w:tblGrid>
      <w:tr>
        <w:trPr>
          <w:cantSplit/>
          <w:tblHeader/>
        </w:trPr>
        <w:tc>
          <w:tcPr>
            <w:tcW w:type="dxa" w:w="2880"/>
            <w:vAlign w:val="center"/>
            <w:tcBorders>
              <w:top w:val="single" w:sz="4" w:color="D9D9D9"/>
              <w:left w:val="single" w:sz="4" w:color="D9D9D9"/>
              <w:bottom w:val="single" w:sz="4" w:color="D9D9D9"/>
              <w:right w:val="single" w:sz="4" w:color="D9D9D9"/>
            </w:tcBorders>
            <w:shd w:fill="E6E6E6"/>
          </w:tcPr>
          <w:p>
            <w:pPr>
              <w:keepNext/>
              <w:keepLines/>
              <w:widowControl/>
              <w:spacing w:before="30" w:after="30" w:line="240" w:lineRule="auto"/>
              <w:jc w:val="left"/>
            </w:pPr>
            <w:r>
              <w:rPr>
                <w:rFonts w:ascii="Times New Roman" w:hAnsi="Times New Roman"/>
                <w:b/>
                <w:color w:val="000000"/>
                <w:sz w:val="19"/>
              </w:rPr>
              <w:t>Association</w:t>
            </w:r>
          </w:p>
        </w:tc>
        <w:tc>
          <w:tcPr>
            <w:tcW w:type="dxa" w:w="2160"/>
            <w:vAlign w:val="center"/>
            <w:tcBorders>
              <w:top w:val="single" w:sz="4" w:color="D9D9D9"/>
              <w:left w:val="single" w:sz="4" w:color="D9D9D9"/>
              <w:bottom w:val="single" w:sz="4" w:color="D9D9D9"/>
              <w:right w:val="single" w:sz="4" w:color="D9D9D9"/>
            </w:tcBorders>
            <w:shd w:fill="E6E6E6"/>
          </w:tcPr>
          <w:p>
            <w:pPr>
              <w:keepNext/>
              <w:keepLines/>
              <w:widowControl/>
              <w:spacing w:before="30" w:after="30" w:line="240" w:lineRule="auto"/>
              <w:jc w:val="left"/>
            </w:pPr>
            <w:r>
              <w:rPr>
                <w:rFonts w:ascii="Times New Roman" w:hAnsi="Times New Roman"/>
                <w:b/>
                <w:color w:val="000000"/>
                <w:sz w:val="19"/>
              </w:rPr>
              <w:t>M0 Baseline</w:t>
            </w:r>
          </w:p>
        </w:tc>
        <w:tc>
          <w:tcPr>
            <w:tcW w:type="dxa" w:w="2160"/>
            <w:vAlign w:val="center"/>
            <w:tcBorders>
              <w:top w:val="single" w:sz="4" w:color="D9D9D9"/>
              <w:left w:val="single" w:sz="4" w:color="D9D9D9"/>
              <w:bottom w:val="single" w:sz="4" w:color="D9D9D9"/>
              <w:right w:val="single" w:sz="4" w:color="D9D9D9"/>
            </w:tcBorders>
            <w:shd w:fill="E6E6E6"/>
          </w:tcPr>
          <w:p>
            <w:pPr>
              <w:keepNext/>
              <w:keepLines/>
              <w:widowControl/>
              <w:spacing w:before="30" w:after="30" w:line="240" w:lineRule="auto"/>
              <w:jc w:val="left"/>
            </w:pPr>
            <w:r>
              <w:rPr>
                <w:rFonts w:ascii="Times New Roman" w:hAnsi="Times New Roman"/>
                <w:b/>
                <w:color w:val="000000"/>
                <w:sz w:val="19"/>
              </w:rPr>
              <w:t>M2 Two bridges</w:t>
            </w:r>
          </w:p>
        </w:tc>
        <w:tc>
          <w:tcPr>
            <w:tcW w:type="dxa" w:w="2160"/>
            <w:vAlign w:val="center"/>
            <w:tcBorders>
              <w:top w:val="single" w:sz="4" w:color="D9D9D9"/>
              <w:left w:val="single" w:sz="4" w:color="D9D9D9"/>
              <w:bottom w:val="single" w:sz="4" w:color="D9D9D9"/>
              <w:right w:val="single" w:sz="4" w:color="D9D9D9"/>
            </w:tcBorders>
            <w:shd w:fill="E6E6E6"/>
          </w:tcPr>
          <w:p>
            <w:pPr>
              <w:keepNext/>
              <w:keepLines/>
              <w:widowControl/>
              <w:spacing w:before="30" w:after="30" w:line="240" w:lineRule="auto"/>
              <w:jc w:val="left"/>
            </w:pPr>
            <w:r>
              <w:rPr>
                <w:rFonts w:ascii="Times New Roman" w:hAnsi="Times New Roman"/>
                <w:b/>
                <w:color w:val="000000"/>
                <w:sz w:val="19"/>
              </w:rPr>
              <w:t>M6 ESEM</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left"/>
            </w:pPr>
            <w:r>
              <w:rPr>
                <w:rFonts w:ascii="Times New Roman" w:hAnsi="Times New Roman"/>
                <w:color w:val="000000"/>
                <w:sz w:val="19"/>
              </w:rPr>
              <w:t>Universalism to SC</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0.350*</w:t>
              <w:br/>
              <w:t>[0.267, 0.433]</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0.346*</w:t>
              <w:br/>
              <w:t>[0.262, 0.429]</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0.342*</w:t>
              <w:br/>
              <w:t>[0.260, 0.425]</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left"/>
            </w:pPr>
            <w:r>
              <w:rPr>
                <w:rFonts w:ascii="Times New Roman" w:hAnsi="Times New Roman"/>
                <w:color w:val="000000"/>
                <w:sz w:val="19"/>
              </w:rPr>
              <w:t>Universalism to SBL</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0.348*</w:t>
              <w:br/>
              <w:t>[0.267, 0.430]</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0.347*</w:t>
              <w:br/>
              <w:t>[0.265, 0.429]</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0.336*</w:t>
              <w:br/>
              <w:t>[0.253, 0.418]</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left"/>
            </w:pPr>
            <w:r>
              <w:rPr>
                <w:rFonts w:ascii="Times New Roman" w:hAnsi="Times New Roman"/>
                <w:color w:val="000000"/>
                <w:sz w:val="19"/>
              </w:rPr>
              <w:t>SC to PSB</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-0.004</w:t>
              <w:br/>
              <w:t>[-0.188, 0.179]</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0.042</w:t>
              <w:br/>
              <w:t>[-0.129, 0.214]</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0.117</w:t>
              <w:br/>
              <w:t>[-0.039, 0.273]</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left"/>
            </w:pPr>
            <w:r>
              <w:rPr>
                <w:rFonts w:ascii="Times New Roman" w:hAnsi="Times New Roman"/>
                <w:color w:val="000000"/>
                <w:sz w:val="19"/>
              </w:rPr>
              <w:t>SBL to PSB</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0.728*</w:t>
              <w:br/>
              <w:t>[0.555, 0.902]</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0.690*</w:t>
              <w:br/>
              <w:t>[0.524, 0.856]</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0.628*</w:t>
              <w:br/>
              <w:t>[0.478, 0.779]</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left"/>
            </w:pPr>
            <w:r>
              <w:rPr>
                <w:rFonts w:ascii="Times New Roman" w:hAnsi="Times New Roman"/>
                <w:color w:val="000000"/>
                <w:sz w:val="19"/>
              </w:rPr>
              <w:t>Power to SBL</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-0.120</w:t>
              <w:br/>
              <w:t>[-0.200, -0.041]</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-0.125</w:t>
              <w:br/>
              <w:t>[-0.205, -0.044]</w:t>
            </w:r>
          </w:p>
        </w:tc>
        <w:tc>
          <w:tcPr>
            <w:tcW w:type="dxa" w:w="2160"/>
            <w:vAlign w:val="center"/>
            <w:tcBorders>
              <w:top w:val="single" w:sz="4" w:color="D9D9D9"/>
              <w:left w:val="single" w:sz="4" w:color="D9D9D9"/>
              <w:bottom w:val="single" w:sz="4" w:color="D9D9D9"/>
              <w:right w:val="single" w:sz="4" w:color="D9D9D9"/>
            </w:tcBorders>
          </w:tcPr>
          <w:p>
            <w:pPr>
              <w:keepNext/>
              <w:keepLines/>
              <w:widowControl/>
              <w:spacing w:before="30" w:after="30" w:line="240" w:lineRule="auto"/>
              <w:jc w:val="center"/>
            </w:pPr>
            <w:r>
              <w:rPr>
                <w:rFonts w:ascii="Times New Roman" w:hAnsi="Times New Roman"/>
                <w:color w:val="000000"/>
                <w:sz w:val="19"/>
              </w:rPr>
              <w:t>-0.135*</w:t>
              <w:br/>
              <w:t>[-0.217, -0.053]</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val="0"/>
              <w:keepLines/>
              <w:widowControl/>
              <w:spacing w:before="30" w:after="30" w:line="240" w:lineRule="auto"/>
              <w:jc w:val="left"/>
            </w:pPr>
            <w:r>
              <w:rPr>
                <w:rFonts w:ascii="Times New Roman" w:hAnsi="Times New Roman"/>
                <w:color w:val="000000"/>
                <w:sz w:val="19"/>
              </w:rPr>
              <w:t>Benevolence to PSB</w:t>
            </w:r>
          </w:p>
        </w:tc>
        <w:tc>
          <w:tcPr>
            <w:tcW w:type="dxa" w:w="2160"/>
            <w:vAlign w:val="center"/>
            <w:tcBorders>
              <w:top w:val="single" w:sz="4" w:color="D9D9D9"/>
              <w:left w:val="single" w:sz="4" w:color="D9D9D9"/>
              <w:bottom w:val="single" w:sz="4" w:color="D9D9D9"/>
              <w:right w:val="single" w:sz="4" w:color="D9D9D9"/>
            </w:tcBorders>
          </w:tcPr>
          <w:p>
            <w:pPr>
              <w:keepNext w:val="0"/>
              <w:keepLines/>
              <w:widowControl/>
              <w:spacing w:before="30" w:after="30" w:line="240" w:lineRule="auto"/>
              <w:jc w:val="center"/>
            </w:pPr>
            <w:r>
              <w:rPr>
                <w:rFonts w:ascii="Times New Roman" w:hAnsi="Times New Roman"/>
                <w:color w:val="000000"/>
                <w:sz w:val="19"/>
              </w:rPr>
              <w:t>0.113</w:t>
              <w:br/>
              <w:t>[0.032, 0.194]</w:t>
            </w:r>
          </w:p>
        </w:tc>
        <w:tc>
          <w:tcPr>
            <w:tcW w:type="dxa" w:w="2160"/>
            <w:vAlign w:val="center"/>
            <w:tcBorders>
              <w:top w:val="single" w:sz="4" w:color="D9D9D9"/>
              <w:left w:val="single" w:sz="4" w:color="D9D9D9"/>
              <w:bottom w:val="single" w:sz="4" w:color="D9D9D9"/>
              <w:right w:val="single" w:sz="4" w:color="D9D9D9"/>
            </w:tcBorders>
          </w:tcPr>
          <w:p>
            <w:pPr>
              <w:keepNext w:val="0"/>
              <w:keepLines/>
              <w:widowControl/>
              <w:spacing w:before="30" w:after="30" w:line="240" w:lineRule="auto"/>
              <w:jc w:val="center"/>
            </w:pPr>
            <w:r>
              <w:rPr>
                <w:rFonts w:ascii="Times New Roman" w:hAnsi="Times New Roman"/>
                <w:color w:val="000000"/>
                <w:sz w:val="19"/>
              </w:rPr>
              <w:t>0.114</w:t>
              <w:br/>
              <w:t>[0.033, 0.196]</w:t>
            </w:r>
          </w:p>
        </w:tc>
        <w:tc>
          <w:tcPr>
            <w:tcW w:type="dxa" w:w="2160"/>
            <w:vAlign w:val="center"/>
            <w:tcBorders>
              <w:top w:val="single" w:sz="4" w:color="D9D9D9"/>
              <w:left w:val="single" w:sz="4" w:color="D9D9D9"/>
              <w:bottom w:val="single" w:sz="4" w:color="D9D9D9"/>
              <w:right w:val="single" w:sz="4" w:color="D9D9D9"/>
            </w:tcBorders>
          </w:tcPr>
          <w:p>
            <w:pPr>
              <w:keepNext w:val="0"/>
              <w:keepLines/>
              <w:widowControl/>
              <w:spacing w:before="30" w:after="30" w:line="240" w:lineRule="auto"/>
              <w:jc w:val="center"/>
            </w:pPr>
            <w:r>
              <w:rPr>
                <w:rFonts w:ascii="Times New Roman" w:hAnsi="Times New Roman"/>
                <w:color w:val="000000"/>
                <w:sz w:val="19"/>
              </w:rPr>
              <w:t>0.124*</w:t>
              <w:br/>
              <w:t>[0.044, 0.205]</w:t>
            </w:r>
          </w:p>
        </w:tc>
      </w:tr>
    </w:tbl>
    <w:p>
      <w:pPr>
        <w:keepLines/>
        <w:widowControl/>
        <w:spacing w:line="240" w:lineRule="auto" w:before="60" w:after="160"/>
      </w:pPr>
      <w:r>
        <w:rPr>
          <w:sz w:val="21"/>
        </w:rPr>
        <w:t>Fully standardised coefficients with pointwise 95% robust delta-method intervals. * indicates Holm-adjusted p&lt;.05 among the 21 focal unstandardised paths within that model. The six rows are selected for the measurement-dependence question; every focal path and all controls are retained in the aggregate archive. Multiplicity does not adjust model-selection uncertainty across seven alternatives. SC/SBL are original target labels; their item emphasis changes under ESEM. No difference between coefficients is inferred solely from significance in one model.</w:t>
      </w:r>
    </w:p>
    <w:p>
      <w:pPr>
        <w:pStyle w:val="Caption"/>
        <w:keepNext/>
      </w:pPr>
      <w:r>
        <w:t>Table 3 Adjusted associations with individual prosocial self descriptions under the M2 MLR specification</w:t>
      </w:r>
    </w:p>
    <w:tbl>
      <w:tblPr>
        <w:tblW w:type="auto" w:w="0"/>
        <w:jc w:val="center"/>
        <w:tblLayout w:type="fixed"/>
        <w:tblLook w:firstColumn="1" w:firstRow="1" w:lastColumn="0" w:lastRow="0" w:noHBand="0" w:noVBand="1" w:val="04A0"/>
      </w:tblPr>
      <w:tblGrid>
        <w:gridCol w:w="1944"/>
        <w:gridCol w:w="2477"/>
        <w:gridCol w:w="2477"/>
        <w:gridCol w:w="2462"/>
      </w:tblGrid>
      <w:tr>
        <w:trPr>
          <w:tblHeader w:val="true"/>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keepLines/>
              <w:spacing w:before="0" w:after="0" w:line="250" w:lineRule="auto"/>
              <w:jc w:val="left"/>
            </w:pPr>
            <w:r>
              <w:rPr>
                <w:rFonts w:ascii="Times New Roman" w:hAnsi="Times New Roman"/>
                <w:b/>
                <w:color w:val="000000"/>
                <w:sz w:val="20"/>
              </w:rPr>
              <w:t>Predictor</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keepLines/>
              <w:spacing w:before="0" w:after="0" w:line="250" w:lineRule="auto"/>
              <w:jc w:val="center"/>
            </w:pPr>
            <w:r>
              <w:rPr>
                <w:rFonts w:ascii="Times New Roman" w:hAnsi="Times New Roman"/>
                <w:b/>
                <w:color w:val="000000"/>
                <w:sz w:val="20"/>
              </w:rPr>
              <w:t>PP1 helping β [95% CI]</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keepLines/>
              <w:spacing w:before="0" w:after="0" w:line="250" w:lineRule="auto"/>
              <w:jc w:val="center"/>
            </w:pPr>
            <w:r>
              <w:rPr>
                <w:rFonts w:ascii="Times New Roman" w:hAnsi="Times New Roman"/>
                <w:b/>
                <w:color w:val="000000"/>
                <w:sz w:val="20"/>
              </w:rPr>
              <w:t>PP2 sharing β [95% CI]</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keepLines/>
              <w:spacing w:before="0" w:after="0" w:line="250" w:lineRule="auto"/>
              <w:jc w:val="center"/>
            </w:pPr>
            <w:r>
              <w:rPr>
                <w:rFonts w:ascii="Times New Roman" w:hAnsi="Times New Roman"/>
                <w:b/>
                <w:color w:val="000000"/>
                <w:sz w:val="20"/>
              </w:rPr>
              <w:t>PP3 empathic support β [95% CI]</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left"/>
            </w:pPr>
            <w:r>
              <w:rPr>
                <w:rFonts w:ascii="Times New Roman" w:hAnsi="Times New Roman"/>
                <w:b w:val="0"/>
                <w:color w:val="000000"/>
                <w:sz w:val="20"/>
              </w:rPr>
              <w:t>SC</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-0.014 [-0.173, 0.146]</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0.024 [-0.133, 0.181]</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0.112 [-0.066, 0.290]</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left"/>
            </w:pPr>
            <w:r>
              <w:rPr>
                <w:rFonts w:ascii="Times New Roman" w:hAnsi="Times New Roman"/>
                <w:b w:val="0"/>
                <w:color w:val="000000"/>
                <w:sz w:val="20"/>
              </w:rPr>
              <w:t>SBL</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0.520* [0.355, 0.685]</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0.472* [0.303, 0.642]</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0.384* [0.200, 0.568]</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left"/>
            </w:pPr>
            <w:r>
              <w:rPr>
                <w:rFonts w:ascii="Times New Roman" w:hAnsi="Times New Roman"/>
                <w:b w:val="0"/>
                <w:color w:val="000000"/>
                <w:sz w:val="20"/>
              </w:rPr>
              <w:t>Universalism</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0.066 [-0.015, 0.147]</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0.045 [-0.045, 0.135]</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-0.005 [-0.092, 0.082]</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left"/>
            </w:pPr>
            <w:r>
              <w:rPr>
                <w:rFonts w:ascii="Times New Roman" w:hAnsi="Times New Roman"/>
                <w:b w:val="0"/>
                <w:color w:val="000000"/>
                <w:sz w:val="20"/>
              </w:rPr>
              <w:t>Benevolence</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0.069 [-0.006, 0.144]</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0.026 [-0.045, 0.096]</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0.166* [0.080, 0.252]</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left"/>
            </w:pPr>
            <w:r>
              <w:rPr>
                <w:rFonts w:ascii="Times New Roman" w:hAnsi="Times New Roman"/>
                <w:b w:val="0"/>
                <w:color w:val="000000"/>
                <w:sz w:val="20"/>
              </w:rPr>
              <w:t>Power</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0.068 [-0.009, 0.144]</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0.033 [-0.047, 0.113]</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keepLines/>
              <w:spacing w:before="0" w:after="0" w:line="250" w:lineRule="auto"/>
              <w:jc w:val="center"/>
            </w:pPr>
            <w:r>
              <w:rPr>
                <w:rFonts w:ascii="Times New Roman" w:hAnsi="Times New Roman"/>
                <w:b w:val="0"/>
                <w:color w:val="000000"/>
                <w:sz w:val="20"/>
              </w:rPr>
              <w:t>0.058 [-0.028, 0.144]</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keepLines/>
              <w:spacing w:before="0" w:after="0" w:line="250" w:lineRule="auto"/>
              <w:jc w:val="left"/>
            </w:pPr>
            <w:r>
              <w:rPr>
                <w:rFonts w:ascii="Times New Roman" w:hAnsi="Times New Roman"/>
                <w:b w:val="0"/>
                <w:color w:val="000000"/>
                <w:sz w:val="20"/>
              </w:rPr>
              <w:t>Achievement</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keepLines/>
              <w:spacing w:before="0" w:after="0" w:line="250" w:lineRule="auto"/>
              <w:jc w:val="center"/>
            </w:pPr>
            <w:r>
              <w:rPr>
                <w:rFonts w:ascii="Times New Roman" w:hAnsi="Times New Roman"/>
                <w:b w:val="0"/>
                <w:color w:val="000000"/>
                <w:sz w:val="20"/>
              </w:rPr>
              <w:t>0.006 [-0.070, 0.082]</w:t>
            </w:r>
          </w:p>
        </w:tc>
        <w:tc>
          <w:tcPr>
            <w:tcW w:type="dxa" w:w="2477"/>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keepLines/>
              <w:spacing w:before="0" w:after="0" w:line="250" w:lineRule="auto"/>
              <w:jc w:val="center"/>
            </w:pPr>
            <w:r>
              <w:rPr>
                <w:rFonts w:ascii="Times New Roman" w:hAnsi="Times New Roman"/>
                <w:b w:val="0"/>
                <w:color w:val="000000"/>
                <w:sz w:val="20"/>
              </w:rPr>
              <w:t>0.014 [-0.069, 0.097]</w:t>
            </w:r>
          </w:p>
        </w:tc>
        <w:tc>
          <w:tcPr>
            <w:tcW w:type="dxa" w:w="246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keepLines/>
              <w:spacing w:before="0" w:after="0" w:line="250" w:lineRule="auto"/>
              <w:jc w:val="center"/>
            </w:pPr>
            <w:r>
              <w:rPr>
                <w:rFonts w:ascii="Times New Roman" w:hAnsi="Times New Roman"/>
                <w:b w:val="0"/>
                <w:color w:val="000000"/>
                <w:sz w:val="20"/>
              </w:rPr>
              <w:t>-0.034 [-0.120, 0.052]</w:t>
            </w:r>
          </w:p>
        </w:tc>
      </w:tr>
    </w:tbl>
    <w:p>
      <w:pPr>
        <w:spacing w:after="120" w:line="252" w:lineRule="auto"/>
      </w:pPr>
      <w:r>
        <w:rPr>
          <w:sz w:val="20"/>
        </w:rPr>
        <w:t>N=653. Cells report fully standardised β and their own pointwise 95% robust delta-method intervals. * denotes p&lt;.05 after Holm adjustment across the 18 focal unstandardised paths within this MLR model. All six focal predictors are displayed; CSR1 and seven controls are also included. PP1 denotes helping, PP2 sharing and PP3 empathic support. The three observed responses have correlated residuals. This is distinct from the latent-PSB SEM in Figure 1 and Table 2. Table S7 retains these estimates and Table S8 the complete ordinal comparison.</w:t>
      </w:r>
    </w:p>
    <w:p>
      <w:pPr>
        <w:pStyle w:val="Caption"/>
        <w:keepNext/>
        <w:widowControl/>
      </w:pPr>
      <w:r>
        <w:t>Table 4 Grouped prediction of individual prosocial self-descriptions</w:t>
      </w:r>
    </w:p>
    <w:tbl>
      <w:tblPr>
        <w:tblW w:type="auto" w:w="0"/>
        <w:jc w:val="center"/>
        <w:tblLayout w:type="fixed"/>
        <w:tblLook w:firstColumn="1" w:firstRow="1" w:lastColumn="0" w:lastRow="0" w:noHBand="0" w:noVBand="1" w:val="04A0"/>
      </w:tblPr>
      <w:tblGrid>
        <w:gridCol w:w="720"/>
        <w:gridCol w:w="1080"/>
        <w:gridCol w:w="1656"/>
        <w:gridCol w:w="1656"/>
        <w:gridCol w:w="2016"/>
        <w:gridCol w:w="2232"/>
      </w:tblGrid>
      <w:tr>
        <w:trPr>
          <w:cantSplit/>
          <w:tblHeader/>
        </w:trPr>
        <w:tc>
          <w:tcPr>
            <w:tcW w:type="dxa" w:w="720"/>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Item</w:t>
            </w:r>
          </w:p>
        </w:tc>
        <w:tc>
          <w:tcPr>
            <w:tcW w:type="dxa" w:w="1080"/>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Model</w:t>
            </w:r>
          </w:p>
        </w:tc>
        <w:tc>
          <w:tcPr>
            <w:tcW w:type="dxa" w:w="165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B3 RMSE</w:t>
            </w:r>
          </w:p>
        </w:tc>
        <w:tc>
          <w:tcPr>
            <w:tcW w:type="dxa" w:w="165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B2 RMSE</w:t>
            </w:r>
          </w:p>
        </w:tc>
        <w:tc>
          <w:tcPr>
            <w:tcW w:type="dxa" w:w="201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Delta RMSE</w:t>
            </w:r>
          </w:p>
        </w:tc>
        <w:tc>
          <w:tcPr>
            <w:tcW w:type="dxa" w:w="223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Change %</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PP1</w:t>
            </w:r>
          </w:p>
        </w:tc>
        <w:tc>
          <w:tcPr>
            <w:tcW w:type="dxa" w:w="108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Probit</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0.7780</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0.7758</w:t>
            </w:r>
          </w:p>
        </w:tc>
        <w:tc>
          <w:tcPr>
            <w:tcW w:type="dxa" w:w="201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-0.0022</w:t>
            </w:r>
          </w:p>
        </w:tc>
        <w:tc>
          <w:tcPr>
            <w:tcW w:type="dxa" w:w="223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-0.29</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PP1</w:t>
            </w:r>
          </w:p>
        </w:tc>
        <w:tc>
          <w:tcPr>
            <w:tcW w:type="dxa" w:w="108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OLS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0.7726</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0.7684</w:t>
            </w:r>
          </w:p>
        </w:tc>
        <w:tc>
          <w:tcPr>
            <w:tcW w:type="dxa" w:w="201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-0.0042</w:t>
            </w:r>
          </w:p>
        </w:tc>
        <w:tc>
          <w:tcPr>
            <w:tcW w:type="dxa" w:w="223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-0.54</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PP2</w:t>
            </w:r>
          </w:p>
        </w:tc>
        <w:tc>
          <w:tcPr>
            <w:tcW w:type="dxa" w:w="108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Probit</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0.7637</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0.7684</w:t>
            </w:r>
          </w:p>
        </w:tc>
        <w:tc>
          <w:tcPr>
            <w:tcW w:type="dxa" w:w="201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0.0046</w:t>
            </w:r>
          </w:p>
        </w:tc>
        <w:tc>
          <w:tcPr>
            <w:tcW w:type="dxa" w:w="223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0.61</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PP2</w:t>
            </w:r>
          </w:p>
        </w:tc>
        <w:tc>
          <w:tcPr>
            <w:tcW w:type="dxa" w:w="108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OLS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0.7622</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0.7664</w:t>
            </w:r>
          </w:p>
        </w:tc>
        <w:tc>
          <w:tcPr>
            <w:tcW w:type="dxa" w:w="201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0.0042</w:t>
            </w:r>
          </w:p>
        </w:tc>
        <w:tc>
          <w:tcPr>
            <w:tcW w:type="dxa" w:w="223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0.55</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PP3</w:t>
            </w:r>
          </w:p>
        </w:tc>
        <w:tc>
          <w:tcPr>
            <w:tcW w:type="dxa" w:w="108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Probit</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0.7624</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0.7570</w:t>
            </w:r>
          </w:p>
        </w:tc>
        <w:tc>
          <w:tcPr>
            <w:tcW w:type="dxa" w:w="201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-0.0054</w:t>
            </w:r>
          </w:p>
        </w:tc>
        <w:tc>
          <w:tcPr>
            <w:tcW w:type="dxa" w:w="223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-0.70</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PP3</w:t>
            </w:r>
          </w:p>
        </w:tc>
        <w:tc>
          <w:tcPr>
            <w:tcW w:type="dxa" w:w="1080"/>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OLS</w:t>
            </w:r>
          </w:p>
        </w:tc>
        <w:tc>
          <w:tcPr>
            <w:tcW w:type="dxa" w:w="165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0.7599</w:t>
            </w:r>
          </w:p>
        </w:tc>
        <w:tc>
          <w:tcPr>
            <w:tcW w:type="dxa" w:w="165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0.7538</w:t>
            </w:r>
          </w:p>
        </w:tc>
        <w:tc>
          <w:tcPr>
            <w:tcW w:type="dxa" w:w="201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-0.0062</w:t>
            </w:r>
          </w:p>
        </w:tc>
        <w:tc>
          <w:tcPr>
            <w:tcW w:type="dxa" w:w="223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-0.81</w:t>
            </w:r>
          </w:p>
        </w:tc>
      </w:tr>
    </w:tbl>
    <w:p>
      <w:pPr>
        <w:keepLines/>
        <w:widowControl/>
        <w:spacing w:line="240" w:lineRule="auto" w:before="60" w:after="160"/>
      </w:pPr>
      <w:r>
        <w:rPr>
          <w:sz w:val="21"/>
        </w:rPr>
        <w:t>B3 contains CSR1, demographic and institution controls, and the 19 observed ASP-S items; B2 additionally includes the four value portraits. Each pair uses the same evaluation records. Cumulative-probit and OLS results average five complete grouped cross-validation repetitions; negative changes favour adding values. These observed prediction models are separate from the latent SEM. Probability scores, regularized-model diagnostics and uncertainty analyses are reported in the supplement. Absolute differences were calculated before rounding. Relative changes average paired repetition-level percentages and need not equal ratios computed from the displayed means.</w:t>
      </w:r>
    </w:p>
    <w:p>
      <w:pPr>
        <w:pStyle w:val="Heading1"/>
        <w:keepNext/>
        <w:widowControl/>
      </w:pPr>
      <w:r>
        <w:rPr>
          <w:color w:val="000000"/>
        </w:rPr>
        <w:t>Discussion</w:t>
      </w:r>
    </w:p>
    <w:p>
      <w:pPr>
        <w:widowControl/>
      </w:pPr>
      <w:r>
        <w:t>This exploratory secondary analysis extends the questions addressed by Prialé et al. (2024), rather than repeating their scale-development objective. The positive Universalism–sustainability associations are consistent in direction with the bivariate pattern they already reported. Our estimates condition on other predictors, however, and do not estimate the same quantity as those correlations; their magnitudes cannot establish replication or change. The added contribution concerns the relationship of sustainability attitudes with prosocial self-descriptions, the dependence of its interpretation on measurement choices, and the additional predictive information recovered from four value portraits. Reusing the same 653 questionnaires makes that extension explicit while preventing any claim of independent confirmation.</w:t>
      </w:r>
    </w:p>
    <w:p>
      <w:pPr>
        <w:widowControl/>
      </w:pPr>
      <w:r>
        <w:t>SBL’s positive associations with PP1–PP3 persist under both estimators, conditional on SC and the other predictors. This pattern connects endorsement of responsible business practices with students’ accounts of helping, sharing and empathic support in personal life. One substantive interpretation is that both sets of responses express an orientation toward considering other people’s needs. This interpretation remains provisional: overlapping moral language and a favourable self-description could also contribute to their association. The results therefore identify a connection between response domains that warrants investigation, rather than demonstrating that sustainability attitudes translate into enacted leadership or everyday helping.</w:t>
      </w:r>
    </w:p>
    <w:p>
      <w:pPr>
        <w:widowControl/>
      </w:pPr>
      <w:r>
        <w:t>Benevolence has a joint association in the individual-response extension and a supported PP3 slope. PP3 combines perceiving distress with understanding and helping, whereas PP1 concerns practical support and PP2 sharing. Its content makes the Benevolence association understandable in terms of concern for others, but does not establish a uniquely empathic mechanism. Neither the joint test nor the supported PP3 coefficient establishes three new latent constructs or formal differences between item slopes. In particular, an unsupported PP1 or PP2 coefficient cannot be read as evidence that Benevolence matters less for those responses. The defensible finding is a conditional association with the response set, including support for PP3.</w:t>
      </w:r>
    </w:p>
    <w:p>
      <w:pPr>
        <w:widowControl/>
      </w:pPr>
      <w:r>
        <w:t>Substantial SC–SBL overlap limits interpreting the positive SBL associations as evidence of a distinct leadership domain or superiority over SC. When strongly related attitudes enter the same model, each coefficient describes the association remaining after accounting for the other; it is not a ranking of their overall importance. M2 remains the content-based structural reference, acknowledging corporate social purpose and community involvement through two cross-loadings. ESEM improves global fit while changing the emphasis of the factors, and S−1 specific reliability remains weak. The alternatives show why apparently similar factor labels need not represent identical psychological content across specifications. Their role is to qualify substantive interpretation, not to identify a preferred model through significance alone.</w:t>
      </w:r>
    </w:p>
    <w:p>
      <w:pPr>
        <w:widowControl/>
      </w:pPr>
      <w:r>
        <w:t>Ordinal CFA respects the response categories, but its higher AVE does not override robust misfit or SC–SBL overlap. The ordinal AVE describes underlying response variables, whereas the MLR calculation concerns the assigned numeric scores. These are different measurement scales, so a higher ordinal value cannot demonstrate that convergent validity has been repaired. The positive SBL item associations remain subject to those measurement limits. Likewise, the numerical difficulties of M6 ordinal SEM prevent using that solution as structural confirmation, without automatically invalidating the admissible M2 ordinal models. Considering fit, numerical behaviour and construct interpretation together provides a more useful assessment than treating any single index as a decision rule.</w:t>
      </w:r>
    </w:p>
    <w:p>
      <w:pPr>
        <w:widowControl/>
      </w:pPr>
      <w:r>
        <w:t>The published invariance evidence also requires a precise distinction. Prialé et al. (2024, Table 5) reported metric and partial scalar results for their two-factor ASP-S model, with the latter freeing the intercepts of items 15 and 20. The full scalar restriction did not meet their stated CFI-change criterion. Our M6 comparisons concern a different specification and do not globally overturn that earlier scale evaluation or establish invariance of the reference M2. Differences in objectives, measurement specifications and numeric-score versus ordinal latent-response scales qualify comparisons between the studies. Unresolved comparability is particularly relevant to interpreting group differences, which the present analysis does not estimate as national effects.</w:t>
      </w:r>
    </w:p>
    <w:p>
      <w:pPr>
        <w:widowControl/>
      </w:pPr>
      <w:r>
        <w:t>The prediction results add a complementary boundary to the association findings. Values retain adjusted associations while contributing limited, outcome-dependent information after the sustainability items. The comparisons evaluate all four values jointly, not Benevolence alone. A possible explanation is that the sustainability responses already contain some of the information represented by the portraits, but this design does not distinguish shared content, limited measurement precision and other explanations. Limited incremental prediction consequently demonstrates neither psychological irrelevance of values nor complete mediation by sustainability attitudes. It describes the information recovered from these four portraits after a specified set of predictors is available, for these responses and prediction models.</w:t>
      </w:r>
    </w:p>
    <w:p>
      <w:pPr>
        <w:widowControl/>
      </w:pPr>
      <w:r>
        <w:t>The distinction between broad priorities and context-specific attitudes also helps locate this result conceptually. Values need not improve every narrow response prediction to remain relevant to how people evaluate competing aims. Conversely, endorsement of sustainable business practices is not a complete account of personal motivation. The comparison identifies what is added by the selected portraits within this questionnaire, leaving broader value coverage and different decision contexts for future research.</w:t>
      </w:r>
    </w:p>
    <w:p>
      <w:pPr>
        <w:widowControl/>
      </w:pPr>
      <w:r>
        <w:t>Error differences, probability calibration and conditional resampling uncertainty address different aspects of performance. Small expected-score improvements can coexist with poorly estimated probabilities for rare categories. The resampling results do not support a consistently beneficial value block, and their ranges are conditional on the observed institutions rather than population confidence intervals. Institution-held-out evaluation assesses sensitivity to those four institutions; it is not independent external validation. These distinctions matter if the eventual purpose is practical assessment: an association can be theoretically informative without providing enough additional predictive accuracy to justify decisions about individual students. The present results do not establish an individual assessment tool.</w:t>
      </w:r>
    </w:p>
    <w:p>
      <w:pPr>
        <w:widowControl/>
      </w:pPr>
      <w:r>
        <w:t>Several features strengthen the interpretation of this limited evidence. The analysis distinguishes the published item allocation from content-motivated alternatives, reports results under continuous and ordinal estimation, and examines the prosocial factor alongside its individual indicators. Separate and joint record-quality sensitivities retain the focal association patterns rather than replacing the primary sample. Grouped evaluation keeps identical response records together, and training-only preprocessing and nested penalty selection address specific sources of predictive optimism. Reporting all focal coefficient families and problematic solutions also makes the boundaries of the evidence visible. These safeguards improve transparency and the assessment of sensitivity; they do not remove uncertainty introduced by exploratory specification choices or recover missing historical documentation.</w:t>
      </w:r>
    </w:p>
    <w:p>
      <w:pPr>
        <w:widowControl/>
      </w:pPr>
      <w:r>
        <w:t>The central limitations concern what the measures and design can establish. One wave and one reporting source leave temporal ordering unresolved and common-method influences possible (Podsakoff et al., 2024). Ceiling endorsement reduces differentiation, and category 1 contains only 3, 4 and 2 responses for PP1–PP3. Regularization can stabilise probability estimates but cannot create information about these sparse categories. Single-portrait values provide limited coverage of each value domain, while the brief prosocial selection cannot represent the full diversity of prosocial conduct. The unavailable administration and adaptation records further limit reconstruction of the PP items’ historical selection. These issues motivate cautious interpretation of the response domains rather than stronger claims based on additional model complexity.</w:t>
      </w:r>
    </w:p>
    <w:p>
      <w:pPr>
        <w:widowControl/>
      </w:pPr>
      <w:r>
        <w:t>The Latin American setting broadens the institutional context in which these questions are examined, but the four participating institutions are not a representative sample of countries. With one institution per country, local recruitment, programme composition and institutional environment cannot be separated from nationality. Pooled associations and omission exercises therefore do not establish national-cultural differences or invariant measurement. The context is most useful for specifying where the findings arose and which settings future comparisons should include. Wider institutional sampling would help determine whether the observed relationships recur across different educational environments.</w:t>
      </w:r>
    </w:p>
    <w:p>
      <w:pPr>
        <w:widowControl/>
      </w:pPr>
      <w:r>
        <w:t>For business education, the findings suggest questions for assessment rather than demonstrated instructional effects. Programmes could assess systems understanding directly, alongside students’ endorsement of responsible managerial practices and their accounts of responding to others, then examine whether these domains develop together. Recalled attendance at an ethics or CSR course cannot show that any programme changed values or behaviour. A focused next study would document the full administered instruments and item-selection rationale, measure the relevant domains over time, and complement self-descriptions with observable opportunities to help or make responsible decisions. Such a design could examine whether the present connection reflects shared self-presentation, a broader other-oriented disposition, or relationships that persist across measurement sources. The present contribution is to make those distinctions empirically consequential without claiming to resolve them.</w:t>
      </w:r>
    </w:p>
    <w:p>
      <w:pPr>
        <w:pStyle w:val="Heading1"/>
        <w:keepNext/>
        <w:widowControl/>
      </w:pPr>
      <w:r>
        <w:rPr>
          <w:color w:val="000000"/>
        </w:rPr>
        <w:t>Conclusion</w:t>
      </w:r>
    </w:p>
    <w:p>
      <w:pPr>
        <w:widowControl/>
      </w:pPr>
      <w:r>
        <w:t>This exploratory secondary analysis extends Prialé et al.’s (2024) ASP-S study using the same 653 questionnaires. Its contribution is to connect sustainability attitudes with helping, sharing and empathic-support self-descriptions, qualify their adjusted associations through measurement sensitivity, and evaluate the incremental predictive information in four values. Universalism relates to sustainability attitudes, and SBL relates to all three prosocial self-descriptions under both estimators. Benevolence has a joint association and a supported PP3 slope without established between-item heterogeneity. These findings identify connections among students’ responses rather than a distinct leadership capacity or a hierarchy of prosocial outcomes.</w:t>
      </w:r>
    </w:p>
    <w:p>
      <w:pPr>
        <w:widowControl/>
      </w:pPr>
      <w:r>
        <w:t>Small, uneven and uncertain predictive changes coexist with the associations. M2 remains the structural reference, subject to construct overlap, sparse categories and unresolved cross-institution comparability. The evidence supports investigating how other-oriented content connects sustainability attitudes and prosocial self-descriptions, while requiring broader measurement and independent observations before behavioural interpretation. For future educational assessment, the priority is to distinguish endorsement, self-description and enacted practice. The present results do not establish observed behavioural, managerial or curricular effects, and they do not establish the psychological irrelevance of values.</w:t>
      </w:r>
    </w:p>
    <w:p>
      <w:pPr>
        <w:pStyle w:val="Heading1"/>
        <w:keepNext/>
        <w:widowControl/>
      </w:pPr>
      <w:r>
        <w:rPr>
          <w:color w:val="000000"/>
        </w:rPr>
        <w:t>Data and analytical materials</w:t>
      </w:r>
    </w:p>
    <w:p>
      <w:pPr>
        <w:widowControl/>
      </w:pPr>
      <w:r>
        <w:t xml:space="preserve">Aggregate results, variable dictionaries, R scripts, synthetic demonstration data and documentation/table_map.csv are publicly available at </w:t>
      </w:r>
      <w:hyperlink r:id="rId11">
        <w:r>
          <w:t>https://github.com/lbenitesanchez/sustainability-values-prosociality</w:t>
        </w:r>
      </w:hyperlink>
      <w:r>
        <w:t>. The table map links the four main tables, 29 supplementary tables and Figure 1 to their sources. The README distinguishes extraction from saved models, computation of descriptives, formatting of existing aggregates and complete model re-estimation. Complete re-estimation requires authorised access to the specified participant records and private model dependencies; it was not repeated for this update. The supplied summary matrices alone cannot reproduce ordinal fitting or grouped cross-validation. Participant-level records, model objects containing those records, individual predictions and resampling partitions are excluded from the public repository. Synthetic demonstration data do not reproduce the empirical findings.</w:t>
      </w:r>
    </w:p>
    <w:p>
      <w:pPr>
        <w:pStyle w:val="Heading1"/>
        <w:keepNext/>
        <w:widowControl/>
      </w:pPr>
      <w:r>
        <w:rPr>
          <w:color w:val="000000"/>
        </w:rPr>
        <w:t>References</w:t>
      </w:r>
    </w:p>
    <w:p>
      <w:pPr>
        <w:keepLines/>
        <w:widowControl/>
        <w:spacing w:line="240" w:lineRule="auto" w:after="120"/>
        <w:ind w:left="360" w:hanging="360"/>
      </w:pPr>
      <w:r>
        <w:rPr>
          <w:sz w:val="22"/>
        </w:rPr>
        <w:t xml:space="preserve">Arieli, S., Sagiv, L., &amp; Cohen-Shalem, E. (2016). Values in business schools: The role of self-selection and socialization. </w:t>
      </w:r>
      <w:r>
        <w:rPr>
          <w:i/>
          <w:sz w:val="22"/>
        </w:rPr>
        <w:t>Academy of Management Learning &amp; Education</w:t>
      </w:r>
      <w:r>
        <w:rPr>
          <w:i/>
          <w:sz w:val="22"/>
        </w:rPr>
        <w:t>, 15</w:t>
      </w:r>
      <w:r>
        <w:rPr>
          <w:sz w:val="22"/>
        </w:rPr>
        <w:t>(3), 493–507. https://doi.org/10.5465/amle.2014.0064</w:t>
      </w:r>
    </w:p>
    <w:p>
      <w:pPr>
        <w:keepLines/>
        <w:widowControl/>
        <w:spacing w:line="240" w:lineRule="auto" w:after="120"/>
        <w:ind w:left="360" w:hanging="360"/>
      </w:pPr>
      <w:r>
        <w:rPr>
          <w:sz w:val="22"/>
        </w:rPr>
        <w:t xml:space="preserve">Asparouhov, T., &amp; Muthén, B. (2009). Exploratory structural equation modeling. </w:t>
      </w:r>
      <w:r>
        <w:rPr>
          <w:i/>
          <w:sz w:val="22"/>
        </w:rPr>
        <w:t>Structural Equation Modeling: A Multidisciplinary Journal</w:t>
      </w:r>
      <w:r>
        <w:rPr>
          <w:i/>
          <w:sz w:val="22"/>
        </w:rPr>
        <w:t>, 16</w:t>
      </w:r>
      <w:r>
        <w:rPr>
          <w:sz w:val="22"/>
        </w:rPr>
        <w:t>(3), 397–438. https://doi.org/10.1080/10705510903008204</w:t>
      </w:r>
    </w:p>
    <w:p>
      <w:pPr>
        <w:keepLines/>
        <w:widowControl/>
        <w:spacing w:line="240" w:lineRule="auto" w:after="120"/>
        <w:ind w:left="360" w:hanging="360"/>
      </w:pPr>
      <w:r>
        <w:rPr>
          <w:sz w:val="22"/>
        </w:rPr>
        <w:t xml:space="preserve">Barrena-Martinez, J., Lopez-Fernandez, M., Marquez-Moreno, C., &amp; Romero-Fernandez, P. M. (2016). Attitudes of university students regarding potential conflicts in socially responsible companies. </w:t>
      </w:r>
      <w:r>
        <w:rPr>
          <w:i/>
          <w:sz w:val="22"/>
        </w:rPr>
        <w:t>Journal of Human Values</w:t>
      </w:r>
      <w:r>
        <w:rPr>
          <w:i/>
          <w:sz w:val="22"/>
        </w:rPr>
        <w:t>, 22</w:t>
      </w:r>
      <w:r>
        <w:rPr>
          <w:sz w:val="22"/>
        </w:rPr>
        <w:t>(2), 125–138. https://doi.org/10.1177/0971685816644091</w:t>
      </w:r>
    </w:p>
    <w:p>
      <w:pPr>
        <w:keepLines/>
        <w:widowControl/>
        <w:spacing w:line="240" w:lineRule="auto" w:after="120"/>
        <w:ind w:left="360" w:hanging="360"/>
      </w:pPr>
      <w:r>
        <w:rPr>
          <w:sz w:val="22"/>
        </w:rPr>
        <w:t xml:space="preserve">Bask, A., Halme, M., Kallio, M., &amp; Kuula, M. (2020). Business students’ value priorities and attitudes towards sustainable development. </w:t>
      </w:r>
      <w:r>
        <w:rPr>
          <w:i/>
          <w:sz w:val="22"/>
        </w:rPr>
        <w:t>Journal of Cleaner Production</w:t>
      </w:r>
      <w:r>
        <w:rPr>
          <w:i/>
          <w:sz w:val="22"/>
        </w:rPr>
        <w:t>, 264</w:t>
      </w:r>
      <w:r>
        <w:rPr>
          <w:sz w:val="22"/>
        </w:rPr>
        <w:t>, 121711. https://doi.org/10.1016/j.jclepro.2020.121711</w:t>
      </w:r>
    </w:p>
    <w:p>
      <w:pPr>
        <w:keepLines/>
        <w:widowControl/>
        <w:spacing w:line="240" w:lineRule="auto" w:after="120"/>
        <w:ind w:left="360" w:hanging="360"/>
      </w:pPr>
      <w:r>
        <w:rPr>
          <w:sz w:val="22"/>
        </w:rPr>
        <w:t xml:space="preserve">Chen, F. F. (2007). Sensitivity of goodness of fit indexes to lack of measurement invariance. </w:t>
      </w:r>
      <w:r>
        <w:rPr>
          <w:i/>
          <w:sz w:val="22"/>
        </w:rPr>
        <w:t>Structural Equation Modeling: A Multidisciplinary Journal</w:t>
      </w:r>
      <w:r>
        <w:rPr>
          <w:i/>
          <w:sz w:val="22"/>
        </w:rPr>
        <w:t>, 14</w:t>
      </w:r>
      <w:r>
        <w:rPr>
          <w:sz w:val="22"/>
        </w:rPr>
        <w:t>(3), 464–504. https://doi.org/10.1080/10705510701301834</w:t>
      </w:r>
    </w:p>
    <w:p>
      <w:pPr>
        <w:keepLines/>
        <w:widowControl/>
        <w:spacing w:line="240" w:lineRule="auto" w:after="120"/>
        <w:ind w:left="360" w:hanging="360"/>
      </w:pPr>
      <w:r>
        <w:rPr>
          <w:sz w:val="22"/>
        </w:rPr>
        <w:t xml:space="preserve">Eid, M., Geiser, C., Koch, T., &amp; Heene, M. (2017). Anomalous results in G-factor models: Explanations and alternatives. </w:t>
      </w:r>
      <w:r>
        <w:rPr>
          <w:i/>
          <w:sz w:val="22"/>
        </w:rPr>
        <w:t>Psychological Methods</w:t>
      </w:r>
      <w:r>
        <w:rPr>
          <w:i/>
          <w:sz w:val="22"/>
        </w:rPr>
        <w:t>, 22</w:t>
      </w:r>
      <w:r>
        <w:rPr>
          <w:sz w:val="22"/>
        </w:rPr>
        <w:t>(3), 541–562. https://doi.org/10.1037/met0000083</w:t>
      </w:r>
    </w:p>
    <w:p>
      <w:pPr>
        <w:keepLines/>
        <w:widowControl/>
        <w:spacing w:line="240" w:lineRule="auto" w:after="120"/>
        <w:ind w:left="360" w:hanging="360"/>
      </w:pPr>
      <w:r>
        <w:rPr>
          <w:sz w:val="22"/>
        </w:rPr>
        <w:t xml:space="preserve">Fornell, C., &amp; Larcker, D. F. (1981). Evaluating structural equation models with unobservable variables and measurement error. </w:t>
      </w:r>
      <w:r>
        <w:rPr>
          <w:i/>
          <w:sz w:val="22"/>
        </w:rPr>
        <w:t>Journal of Marketing Research</w:t>
      </w:r>
      <w:r>
        <w:rPr>
          <w:i/>
          <w:sz w:val="22"/>
        </w:rPr>
        <w:t>, 18</w:t>
      </w:r>
      <w:r>
        <w:rPr>
          <w:sz w:val="22"/>
        </w:rPr>
        <w:t>(1), 39–50. https://doi.org/10.1177/002224378101800104</w:t>
      </w:r>
    </w:p>
    <w:p>
      <w:pPr>
        <w:keepLines/>
        <w:widowControl/>
        <w:spacing w:line="240" w:lineRule="auto" w:after="120"/>
        <w:ind w:left="360" w:hanging="360"/>
      </w:pPr>
      <w:r>
        <w:rPr>
          <w:sz w:val="22"/>
        </w:rPr>
        <w:t>Gneiting, T., &amp; Raftery, A. E. (2007). Strictly proper scoring rules, prediction, and estimation. Journal of the American Statistical Association, 102(477), 359–378. https://doi.org/10.1198/016214506000001437</w:t>
      </w:r>
    </w:p>
    <w:p>
      <w:pPr>
        <w:keepLines/>
        <w:widowControl/>
        <w:spacing w:line="240" w:lineRule="auto" w:after="120"/>
        <w:ind w:left="360" w:hanging="360"/>
      </w:pPr>
      <w:r>
        <w:rPr>
          <w:sz w:val="22"/>
        </w:rPr>
        <w:t xml:space="preserve">Haski-Leventhal, D., Pournader, M., &amp; Leigh, J. S. A. (2022). Responsible management education as socialization: Business students’ values, attitudes, and intentions. </w:t>
      </w:r>
      <w:r>
        <w:rPr>
          <w:i/>
          <w:sz w:val="22"/>
        </w:rPr>
        <w:t>Journal of Business Ethics</w:t>
      </w:r>
      <w:r>
        <w:rPr>
          <w:i/>
          <w:sz w:val="22"/>
        </w:rPr>
        <w:t>, 176</w:t>
      </w:r>
      <w:r>
        <w:rPr>
          <w:sz w:val="22"/>
        </w:rPr>
        <w:t>(1), 17–35. https://doi.org/10.1007/s10551-020-04593-3</w:t>
      </w:r>
    </w:p>
    <w:p>
      <w:pPr>
        <w:keepLines/>
        <w:widowControl/>
        <w:spacing w:line="240" w:lineRule="auto" w:after="120"/>
        <w:ind w:left="360" w:hanging="360"/>
      </w:pPr>
      <w:r>
        <w:rPr>
          <w:sz w:val="22"/>
        </w:rPr>
        <w:t xml:space="preserve">Henseler, J., Ringle, C. M., &amp; Sarstedt, M. (2015). A new criterion for assessing discriminant validity in variance-based structural equation modeling. </w:t>
      </w:r>
      <w:r>
        <w:rPr>
          <w:i/>
          <w:sz w:val="22"/>
        </w:rPr>
        <w:t>Journal of the Academy of Marketing Science</w:t>
      </w:r>
      <w:r>
        <w:rPr>
          <w:i/>
          <w:sz w:val="22"/>
        </w:rPr>
        <w:t>, 43</w:t>
      </w:r>
      <w:r>
        <w:rPr>
          <w:sz w:val="22"/>
        </w:rPr>
        <w:t>(1), 115–135. https://doi.org/10.1007/s11747-014-0403-8</w:t>
      </w:r>
    </w:p>
    <w:p>
      <w:pPr>
        <w:keepLines/>
        <w:widowControl/>
        <w:spacing w:line="240" w:lineRule="auto" w:after="120"/>
        <w:ind w:left="360" w:hanging="360"/>
      </w:pPr>
      <w:r>
        <w:rPr>
          <w:sz w:val="22"/>
        </w:rPr>
        <w:t xml:space="preserve">Homer, P. M., &amp; Kahle, L. R. (1988). A structural equation test of the value–attitude–behavior hierarchy. </w:t>
      </w:r>
      <w:r>
        <w:rPr>
          <w:i/>
          <w:sz w:val="22"/>
        </w:rPr>
        <w:t>Journal of Personality and Social Psychology</w:t>
      </w:r>
      <w:r>
        <w:rPr>
          <w:i/>
          <w:sz w:val="22"/>
        </w:rPr>
        <w:t>, 54</w:t>
      </w:r>
      <w:r>
        <w:rPr>
          <w:sz w:val="22"/>
        </w:rPr>
        <w:t>(4), 638–646. https://doi.org/10.1037/0022-3514.54.4.638</w:t>
      </w:r>
    </w:p>
    <w:p>
      <w:pPr>
        <w:keepLines/>
        <w:widowControl/>
        <w:spacing w:line="240" w:lineRule="auto" w:after="120"/>
        <w:ind w:left="360" w:hanging="360"/>
      </w:pPr>
      <w:r>
        <w:rPr>
          <w:sz w:val="22"/>
        </w:rPr>
        <w:t xml:space="preserve">Li, C.-H. (2016). Confirmatory factor analysis with ordinal data: Comparing robust maximum likelihood and diagonally weighted least squares. </w:t>
      </w:r>
      <w:r>
        <w:rPr>
          <w:i/>
          <w:sz w:val="22"/>
        </w:rPr>
        <w:t>Behavior Research Methods</w:t>
      </w:r>
      <w:r>
        <w:rPr>
          <w:i/>
          <w:sz w:val="22"/>
        </w:rPr>
        <w:t>, 48</w:t>
      </w:r>
      <w:r>
        <w:rPr>
          <w:sz w:val="22"/>
        </w:rPr>
        <w:t>(3), 936–949. https://doi.org/10.3758/s13428-015-0619-7</w:t>
      </w:r>
    </w:p>
    <w:p>
      <w:pPr>
        <w:keepLines/>
        <w:widowControl/>
        <w:spacing w:line="240" w:lineRule="auto" w:after="120"/>
        <w:ind w:left="360" w:hanging="360"/>
      </w:pPr>
      <w:r>
        <w:rPr>
          <w:sz w:val="22"/>
        </w:rPr>
        <w:t xml:space="preserve">Maxwell, S. E., &amp; Cole, D. A. (2007). Bias in cross-sectional analyses of longitudinal mediation. </w:t>
      </w:r>
      <w:r>
        <w:rPr>
          <w:i/>
          <w:sz w:val="22"/>
        </w:rPr>
        <w:t>Psychological Methods</w:t>
      </w:r>
      <w:r>
        <w:rPr>
          <w:i/>
          <w:sz w:val="22"/>
        </w:rPr>
        <w:t>, 12</w:t>
      </w:r>
      <w:r>
        <w:rPr>
          <w:sz w:val="22"/>
        </w:rPr>
        <w:t>(1), 23–44. https://doi.org/10.1037/1082-989X.12.1.23</w:t>
      </w:r>
    </w:p>
    <w:p>
      <w:pPr>
        <w:keepLines/>
        <w:widowControl/>
        <w:spacing w:line="240" w:lineRule="auto" w:after="120"/>
        <w:ind w:left="360" w:hanging="360"/>
      </w:pPr>
      <w:r>
        <w:rPr>
          <w:sz w:val="22"/>
        </w:rPr>
        <w:t xml:space="preserve">McDonald, R. P., &amp; Ho, M.-H. R. (2002). Principles and practice in reporting structural equation analyses. </w:t>
      </w:r>
      <w:r>
        <w:rPr>
          <w:i/>
          <w:sz w:val="22"/>
        </w:rPr>
        <w:t>Psychological Methods</w:t>
      </w:r>
      <w:r>
        <w:rPr>
          <w:i/>
          <w:sz w:val="22"/>
        </w:rPr>
        <w:t>, 7</w:t>
      </w:r>
      <w:r>
        <w:rPr>
          <w:sz w:val="22"/>
        </w:rPr>
        <w:t>(1), 64–82. https://doi.org/10.1037/1082-989X.7.1.64</w:t>
      </w:r>
    </w:p>
    <w:p>
      <w:pPr>
        <w:keepLines/>
        <w:widowControl/>
        <w:spacing w:line="240" w:lineRule="auto" w:after="120"/>
        <w:ind w:left="360" w:hanging="360"/>
      </w:pPr>
      <w:r>
        <w:rPr>
          <w:sz w:val="22"/>
        </w:rPr>
        <w:t xml:space="preserve">Nazirova, Z., &amp; Simonovits, B. (2024). Values, attitudes and the behaviour paradigm: A systematic literature review. </w:t>
      </w:r>
      <w:r>
        <w:rPr>
          <w:i/>
          <w:sz w:val="22"/>
        </w:rPr>
        <w:t>Journal of Human Values</w:t>
      </w:r>
      <w:r>
        <w:rPr>
          <w:i/>
          <w:sz w:val="22"/>
        </w:rPr>
        <w:t>, 30</w:t>
      </w:r>
      <w:r>
        <w:rPr>
          <w:sz w:val="22"/>
        </w:rPr>
        <w:t>(2), 214–239. https://doi.org/10.1177/09716858241236902</w:t>
      </w:r>
    </w:p>
    <w:p>
      <w:pPr>
        <w:keepLines/>
        <w:widowControl/>
        <w:spacing w:line="240" w:lineRule="auto" w:after="120"/>
        <w:ind w:left="360" w:hanging="360"/>
      </w:pPr>
      <w:r>
        <w:rPr>
          <w:sz w:val="22"/>
        </w:rPr>
        <w:t xml:space="preserve">Nye, C. D., &amp; Drasgow, F. (2011). Assessing goodness of fit: Simple rules of thumb simply do not work. </w:t>
      </w:r>
      <w:r>
        <w:rPr>
          <w:i/>
          <w:sz w:val="22"/>
        </w:rPr>
        <w:t>Organizational Research Methods</w:t>
      </w:r>
      <w:r>
        <w:rPr>
          <w:i/>
          <w:sz w:val="22"/>
        </w:rPr>
        <w:t>, 14</w:t>
      </w:r>
      <w:r>
        <w:rPr>
          <w:sz w:val="22"/>
        </w:rPr>
        <w:t>(3), 548–570. https://doi.org/10.1177/1094428110368562</w:t>
      </w:r>
    </w:p>
    <w:p>
      <w:pPr>
        <w:keepLines/>
        <w:widowControl/>
        <w:spacing w:line="240" w:lineRule="auto" w:after="120"/>
        <w:ind w:left="360" w:hanging="360"/>
      </w:pPr>
      <w:r>
        <w:rPr>
          <w:sz w:val="22"/>
        </w:rPr>
        <w:t xml:space="preserve">Oceja, L., Stocks, E., Heerdink, M., Villar, S., Salgado, S., Carrera, P., Arribas, M., Bargsted, M., Beramendi, M., Caballero, A., Espinosa, A., Escanés, G., Lima, L., Muñoz, D., Nájera, P., Pereira, S., Villegas, M., &amp; Zubieta, E. (2019). Revisiting the difference between instrumental and terminal values to predict (stimulating) prosocial behaviours: The transcendental-change profile. </w:t>
      </w:r>
      <w:r>
        <w:rPr>
          <w:i/>
          <w:sz w:val="22"/>
        </w:rPr>
        <w:t>British Journal of Social Psychology</w:t>
      </w:r>
      <w:r>
        <w:rPr>
          <w:i/>
          <w:sz w:val="22"/>
        </w:rPr>
        <w:t>, 58</w:t>
      </w:r>
      <w:r>
        <w:rPr>
          <w:sz w:val="22"/>
        </w:rPr>
        <w:t>(3), 749–768. https://doi.org/10.1111/bjso.12306</w:t>
      </w:r>
    </w:p>
    <w:p>
      <w:pPr>
        <w:keepLines/>
        <w:widowControl/>
        <w:spacing w:line="240" w:lineRule="auto" w:after="120"/>
        <w:ind w:left="360" w:hanging="360"/>
      </w:pPr>
      <w:r>
        <w:rPr>
          <w:sz w:val="22"/>
        </w:rPr>
        <w:t xml:space="preserve">Podsakoff, P. M., Podsakoff, N. P., Williams, L. J., Huang, C., &amp; Yang, J. (2024). Common method bias: It’s bad, it’s complex, it’s widespread, and it’s not easy to fix. </w:t>
      </w:r>
      <w:r>
        <w:rPr>
          <w:i/>
          <w:sz w:val="22"/>
        </w:rPr>
        <w:t>Annual Review of Organizational Psychology and Organizational Behavior</w:t>
      </w:r>
      <w:r>
        <w:rPr>
          <w:i/>
          <w:sz w:val="22"/>
        </w:rPr>
        <w:t>, 11</w:t>
      </w:r>
      <w:r>
        <w:rPr>
          <w:sz w:val="22"/>
        </w:rPr>
        <w:t>(1), 17–61. https://doi.org/10.1146/annurev-orgpsych-110721-040030</w:t>
      </w:r>
    </w:p>
    <w:p>
      <w:pPr>
        <w:keepLines/>
        <w:widowControl/>
        <w:spacing w:line="240" w:lineRule="auto" w:after="120"/>
        <w:ind w:left="360" w:hanging="360"/>
      </w:pPr>
      <w:r>
        <w:rPr>
          <w:sz w:val="22"/>
        </w:rPr>
        <w:t xml:space="preserve">Prialé, M. A., Vera Ruiz, A., Espinosa, A., Kamiche Zegarra, J. N., Yepes López, G. A., Darmohraj, A. M., &amp; Flores Venturi, C. I. (2024). Measurement of sustainable attitudes: A scale for business students. </w:t>
      </w:r>
      <w:r>
        <w:rPr>
          <w:i/>
          <w:sz w:val="22"/>
        </w:rPr>
        <w:t>International Journal of Sustainability in Higher Education</w:t>
      </w:r>
      <w:r>
        <w:rPr>
          <w:i/>
          <w:sz w:val="22"/>
        </w:rPr>
        <w:t>, 25</w:t>
      </w:r>
      <w:r>
        <w:rPr>
          <w:sz w:val="22"/>
        </w:rPr>
        <w:t>(8), 2017–2039. https://doi.org/10.1108/IJSHE-10-2023-0476</w:t>
      </w:r>
    </w:p>
    <w:p>
      <w:pPr>
        <w:keepLines/>
        <w:widowControl/>
        <w:spacing w:line="240" w:lineRule="auto" w:after="120"/>
        <w:ind w:left="360" w:hanging="360"/>
      </w:pPr>
      <w:r>
        <w:rPr>
          <w:sz w:val="22"/>
        </w:rPr>
        <w:t xml:space="preserve">Reficco, E., Jaén, M. H., &amp; Trujillo, C. (2019). Beyond knowledge: A study of Latin American business schools’ efforts to deliver a value-based education. </w:t>
      </w:r>
      <w:r>
        <w:rPr>
          <w:i/>
          <w:sz w:val="22"/>
        </w:rPr>
        <w:t>Journal of Business Ethics</w:t>
      </w:r>
      <w:r>
        <w:rPr>
          <w:i/>
          <w:sz w:val="22"/>
        </w:rPr>
        <w:t>, 156</w:t>
      </w:r>
      <w:r>
        <w:rPr>
          <w:sz w:val="22"/>
        </w:rPr>
        <w:t>(3), 857–874. https://doi.org/10.1007/s10551-017-3634-z</w:t>
      </w:r>
    </w:p>
    <w:p>
      <w:pPr>
        <w:keepLines/>
        <w:widowControl/>
        <w:spacing w:line="240" w:lineRule="auto" w:after="120"/>
        <w:ind w:left="360" w:hanging="360"/>
      </w:pPr>
      <w:r>
        <w:rPr>
          <w:sz w:val="22"/>
        </w:rPr>
        <w:t xml:space="preserve">Sagiv, L., &amp; Schwartz, S. H. (2022). Personal values across cultures. </w:t>
      </w:r>
      <w:r>
        <w:rPr>
          <w:i/>
          <w:sz w:val="22"/>
        </w:rPr>
        <w:t>Annual Review of Psychology</w:t>
      </w:r>
      <w:r>
        <w:rPr>
          <w:i/>
          <w:sz w:val="22"/>
        </w:rPr>
        <w:t>, 73</w:t>
      </w:r>
      <w:r>
        <w:rPr>
          <w:sz w:val="22"/>
        </w:rPr>
        <w:t>(1), 517–546. https://doi.org/10.1146/annurev-psych-020821-125100</w:t>
      </w:r>
    </w:p>
    <w:p>
      <w:pPr>
        <w:keepLines/>
        <w:widowControl/>
        <w:spacing w:line="240" w:lineRule="auto" w:after="120"/>
        <w:ind w:left="360" w:hanging="360"/>
      </w:pPr>
      <w:r>
        <w:rPr>
          <w:sz w:val="22"/>
        </w:rPr>
        <w:t>Schwartz, S. H. (1992). Universals in the content and structure of values: Theoretical advances and empirical tests in 20 countries. In M. P. Zanna (Ed.), Advances in experimental social psychology (Vol. 25, pp. 1–65). Academic Press. https://doi.org/10.1016/S0065-2601(08)60281-6</w:t>
      </w:r>
    </w:p>
    <w:p>
      <w:pPr>
        <w:keepLines/>
        <w:widowControl/>
        <w:spacing w:line="240" w:lineRule="auto" w:after="120"/>
        <w:ind w:left="360" w:hanging="360"/>
      </w:pPr>
      <w:r>
        <w:rPr>
          <w:sz w:val="22"/>
        </w:rPr>
        <w:t>Vera Ruiz, A., Espinosa Pezzia, A., &amp; Llanco Gonzales, C. A. (2022). Perfiles psicológicos de emprendedores en Perú según necesidad, oportunidad, valor y sus variables predictoras de comportamientos de prosocialidad-productiva. Cuadernos de Administración, 35. https://doi.org/10.11144/Javeriana.cao35.ppep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Times New Roman" w:hAnsi="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imes New Roman" w:hAnsi="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40" w:after="80"/>
      <w:outlineLvl w:val="1"/>
    </w:pPr>
    <w:rPr>
      <w:rFonts w:ascii="Times New Roman" w:hAnsi="Times New Roman"/>
      <w:b w:val="0"/>
      <w:bCs/>
      <w:i/>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b/>
      <w:color w:val="000000"/>
      <w:spacing w:val="5"/>
      <w:kern w:val="28"/>
      <w:sz w:val="32"/>
      <w:szCs w:val="52"/>
      <w:u w:val="none"/>
    </w:rPr>
  </w:style>
  <w:style w:type="character" w:customStyle="1" w:styleId="TitleChar">
    <w:name w:val="Title Char"/>
    <w:basedOn w:val="DefaultParagraphFont"/>
    <w:link w:val="Title"/>
    <w:uiPriority w:val="10"/>
    <w:rsid w:val="00FC693F"/>
    <w:rPr>
      <w:rFonts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80" w:after="100"/>
    </w:pPr>
    <w:rPr>
      <w:rFonts w:ascii="Times New Roman" w:hAnsi="Times New Roman"/>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lbenitesanchez/sustainability-values-prosoci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values and prosocial self descriptions among business students</dc:title>
  <dc:subject>Revision of measurement and prediction reporting</dc:subject>
  <dc:creator/>
  <cp:keywords/>
  <dc:description/>
  <cp:lastModifiedBy/>
  <cp:revision>2</cp:revision>
  <dcterms:created xsi:type="dcterms:W3CDTF">2013-12-23T23:15:00Z</dcterms:created>
  <dcterms:modified xsi:type="dcterms:W3CDTF">2013-12-23T23:15:00Z</dcterms:modified>
  <cp:category/>
</cp:coreProperties>
</file>