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202.1 Checklist- Showcase Packing List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gutw6wjcae7b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SL oversees the creation, formatting, and finalization of the entire proposal.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“Main Components” Checklist items are included in the Proposal Template in PandaDoc; the SL is required to generate and edit them.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“Formatting- Info Received from TL and TE” checklist items are provided to the SL by the TL/TE. These items usually start with content already in PandaDoc but need to be edited and approved by the TL/TE.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may be needed from the TL/TE for any checklist item.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jm5yfa5e72wu" w:id="2"/>
      <w:bookmarkEnd w:id="2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hkwok4ishyi" w:id="3"/>
      <w:bookmarkEnd w:id="3"/>
      <w:r w:rsidDel="00000000" w:rsidR="00000000" w:rsidRPr="00000000">
        <w:rPr>
          <w:rtl w:val="0"/>
        </w:rPr>
        <w:t xml:space="preserve">Main Components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Title Page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Cover Letter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 Responsibility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 Services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Company Overview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Company Qualifications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Team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Personnel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References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Signature Page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s9zonbm3a9j" w:id="4"/>
      <w:bookmarkEnd w:id="4"/>
      <w:r w:rsidDel="00000000" w:rsidR="00000000" w:rsidRPr="00000000">
        <w:rPr>
          <w:rtl w:val="0"/>
        </w:rPr>
        <w:t xml:space="preserve">Info Received from TL and TE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Approach/Overview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 of Services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Timeline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Deliverables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