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101.3 - Past Dues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3fucto3t9gq7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happens monthly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yadj1eyyki4" w:id="2"/>
      <w:bookmarkEnd w:id="2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Contacting Past Due Clients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jm5yfa5e72wu" w:id="3"/>
      <w:bookmarkEnd w:id="3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hkwok4ishyi" w:id="4"/>
      <w:bookmarkEnd w:id="4"/>
      <w:r w:rsidDel="00000000" w:rsidR="00000000" w:rsidRPr="00000000">
        <w:rPr>
          <w:rtl w:val="0"/>
        </w:rPr>
        <w:t xml:space="preserve">Contacting Past Dues Checklist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view which clients are past due: BigTime / Invoicing &amp; Payments / Invoice Overview / Click on Invoices under the A/R Aging / Sort by A/R Period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soon as they are overdue, Jodi sends an email.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 up an email to each client using the template attached above.  Before sending the email, click on the 3 dots, click on the Request Read Receipt, and then push send.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Make a note under the Client in QuickBooks, so we have a log of when we have reached out to the client regarding them being past due.  QuickBooks / Customer Hub / Clients &amp; Leads / Search by (Parent) Client name and push enter / Select the Parent one / Click on either Add Notes or the Pencil by Notes / Enter the date you reached out to the Client and a brief Description.  If Client responds or has sent back a read request receipt, please update the notes with that information as well.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45 days late:  Jodi sends email with PM cc'd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60 days late:  Jodi sends third email including a late charge with PM, TL, and Carrie cc'd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Jodi hands off to Carrie at 60 days outstanding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Jon will call at 90 days outstanding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.screenpal.com/watch/cTfb2fnjB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