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t>面向真实无人机遥测的可解释层次化运行时软件故障定位与子系统诊断</w:t>
      </w:r>
    </w:p>
    <w:p>
      <w:pPr>
        <w:spacing w:after="100"/>
        <w:jc w:val="center"/>
      </w:pPr>
      <w:r>
        <w:t>研究方案（路线 C 修订版，面向 MDPI Drones 投稿）</w:t>
      </w:r>
    </w:p>
    <w:tbl>
      <w:tblPr>
        <w:tblStyle w:val="TableGrid"/>
        <w:tblW w:type="auto" w:w="0"/>
        <w:jc w:val="center"/>
        <w:tblLook w:firstColumn="1" w:firstRow="1" w:lastColumn="0" w:lastRow="0" w:noHBand="0" w:noVBand="1" w:val="04A0"/>
      </w:tblPr>
      <w:tblGrid>
        <w:gridCol w:w="4929"/>
        <w:gridCol w:w="4929"/>
      </w:tblGrid>
      <w:tr>
        <w:trPr>
          <w:cantSplit/>
          <w:cantSplit/>
          <w:tblHeader w:val="true"/>
        </w:trPr>
        <w:tc>
          <w:tcPr>
            <w:tcW w:type="dxa" w:w="1814"/>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拟定方法名</w:t>
            </w:r>
          </w:p>
        </w:tc>
        <w:tc>
          <w:tcPr>
            <w:tcW w:type="dxa" w:w="7200"/>
            <w:vAlign w:val="center"/>
            <w:tcMar>
              <w:top w:w="70" w:type="dxa"/>
              <w:start w:w="80" w:type="dxa"/>
              <w:bottom w:w="70" w:type="dxa"/>
              <w:end w:w="80" w:type="dxa"/>
            </w:tcMar>
            <w:shd w:fill="EAF2F8"/>
          </w:tcPr>
          <w:p>
            <w:r>
              <w:t>HS-AeroTS-FL（Hierarchical Software-Subsystem-Aware AeroTS）</w:t>
            </w:r>
          </w:p>
        </w:tc>
      </w:tr>
      <w:tr>
        <w:trPr>
          <w:cantSplit/>
          <w:cantSplit/>
        </w:trPr>
        <w:tc>
          <w:tcPr>
            <w:tcW w:type="dxa" w:w="1814"/>
            <w:vAlign w:val="center"/>
            <w:tcMar>
              <w:top w:w="70" w:type="dxa"/>
              <w:start w:w="80" w:type="dxa"/>
              <w:bottom w:w="70" w:type="dxa"/>
              <w:end w:w="80" w:type="dxa"/>
            </w:tcMar>
            <w:shd w:fill="D9EAF7"/>
          </w:tcPr>
          <w:p>
            <w:pPr>
              <w:spacing w:after="0" w:line="252" w:lineRule="auto"/>
              <w:jc w:val="left"/>
            </w:pPr>
            <w:r>
              <w:rPr>
                <w:rFonts w:ascii="Times New Roman" w:hAnsi="Times New Roman" w:eastAsia="Noto Sans CJK SC"/>
                <w:b/>
                <w:sz w:val="16"/>
              </w:rPr>
              <w:t>研究定位</w:t>
            </w:r>
          </w:p>
        </w:tc>
        <w:tc>
          <w:tcPr>
            <w:tcW w:type="dxa" w:w="7200"/>
            <w:vAlign w:val="center"/>
            <w:tcMar>
              <w:top w:w="70" w:type="dxa"/>
              <w:start w:w="80" w:type="dxa"/>
              <w:bottom w:w="70" w:type="dxa"/>
              <w:end w:w="80" w:type="dxa"/>
            </w:tcMar>
          </w:tcPr>
          <w:p>
            <w:r>
              <w:t>真实 UAV 运行异常检测 + 故障域诊断 + uORB/PX4 软件模块可疑度定位</w:t>
            </w:r>
          </w:p>
        </w:tc>
      </w:tr>
      <w:tr>
        <w:trPr>
          <w:cantSplit/>
          <w:cantSplit/>
        </w:trPr>
        <w:tc>
          <w:tcPr>
            <w:tcW w:type="dxa" w:w="1814"/>
            <w:vAlign w:val="center"/>
            <w:tcMar>
              <w:top w:w="70" w:type="dxa"/>
              <w:start w:w="80" w:type="dxa"/>
              <w:bottom w:w="70" w:type="dxa"/>
              <w:end w:w="80" w:type="dxa"/>
            </w:tcMar>
            <w:shd w:fill="D9EAF7"/>
          </w:tcPr>
          <w:p>
            <w:pPr>
              <w:spacing w:after="0" w:line="252" w:lineRule="auto"/>
              <w:jc w:val="left"/>
            </w:pPr>
            <w:r>
              <w:rPr>
                <w:rFonts w:ascii="Times New Roman" w:hAnsi="Times New Roman" w:eastAsia="Noto Sans CJK SC"/>
                <w:b/>
                <w:sz w:val="16"/>
              </w:rPr>
              <w:t>核心资源</w:t>
            </w:r>
          </w:p>
        </w:tc>
        <w:tc>
          <w:tcPr>
            <w:tcW w:type="dxa" w:w="7200"/>
            <w:vAlign w:val="center"/>
            <w:tcMar>
              <w:top w:w="70" w:type="dxa"/>
              <w:start w:w="80" w:type="dxa"/>
              <w:bottom w:w="70" w:type="dxa"/>
              <w:end w:w="80" w:type="dxa"/>
            </w:tcMar>
          </w:tcPr>
          <w:p>
            <w:r>
              <w:t>UAV-SEAD + AeroTSBoost + PX4-Autopilot/uORB + SITL mutations + ALFA</w:t>
            </w:r>
          </w:p>
        </w:tc>
      </w:tr>
    </w:tbl>
    <w:p>
      <w:pPr>
        <w:spacing w:after="0"/>
      </w:pPr>
    </w:p>
    <w:p>
      <w:pPr>
        <w:pStyle w:val="Heading1"/>
        <w:keepNext/>
        <w:spacing w:before="140" w:after="60"/>
      </w:pPr>
      <w:r>
        <w:rPr>
          <w:rFonts w:ascii="Arial" w:hAnsi="Arial" w:eastAsia="Noto Sans CJK SC"/>
          <w:b/>
          <w:color w:val="1F4E79"/>
          <w:sz w:val="26"/>
        </w:rPr>
        <w:t>1. 研究问题</w:t>
      </w:r>
    </w:p>
    <w:p>
      <w:pPr>
        <w:spacing w:line="312" w:lineRule="auto" w:after="60"/>
        <w:ind w:firstLine="420"/>
      </w:pPr>
      <w:r>
        <w:t>一句话概括：如何利用真实 PX4 多源飞行遥测，在检测运行异常和诊断故障域的基础上，沿 uORB 运行时接口进一步排序可疑 PX4 软件模块，并给出可追溯、可定量验证的故障定位证据？</w:t>
      </w:r>
    </w:p>
    <w:p>
      <w:pPr>
        <w:spacing w:line="312" w:lineRule="auto" w:after="60"/>
        <w:ind w:firstLine="420"/>
      </w:pPr>
      <w:r>
        <w:t>本研究将任务定位为面向软件密集型无人机系统的遥测驱动运行时故障定位，而不是传统语句级软件缺陷定位。UAV-SEAD 用于验证真实飞行中的异常检测、故障域诊断和遥测证据；新增 PX4 固件溯源与 uORB topic→module 映射用于生成软件模块可疑度；新增 SITL 已知注入故障用于提供模块级 ground truth。只有受控注入实验可以支撑“软件模块定位”主张，真实数据中的机械、传感器和状态估计异常不得直接称为源代码 bug。</w:t>
      </w:r>
    </w:p>
    <w:p>
      <w:pPr>
        <w:spacing w:line="312" w:lineRule="auto" w:after="60"/>
        <w:ind w:firstLine="420"/>
      </w:pPr>
      <w:r>
        <w:t>目标输出扩展为四级结果：第一层判断是否异常；第二层诊断 Mechanical &amp; Electrical、External Position、Global Position 或 Altitude 故障域；第三层定位高贡献 telemetry channel 与 uORB topic；第四层结合对应固件版本的软件架构图，输出可疑 PX4 module/source directory 排名。</w:t>
      </w:r>
    </w:p>
    <w:p>
      <w:pPr>
        <w:pStyle w:val="Heading1"/>
        <w:keepNext/>
        <w:spacing w:before="140" w:after="60"/>
      </w:pPr>
      <w:r>
        <w:rPr>
          <w:rFonts w:ascii="Arial" w:hAnsi="Arial" w:eastAsia="Noto Sans CJK SC"/>
          <w:b/>
          <w:color w:val="1F4E79"/>
          <w:sz w:val="26"/>
        </w:rPr>
        <w:t>2. 现有方法与研究缺口</w:t>
      </w:r>
    </w:p>
    <w:p>
      <w:pPr>
        <w:pStyle w:val="Heading2"/>
        <w:keepNext/>
        <w:spacing w:before="100" w:after="60"/>
      </w:pPr>
      <w:r>
        <w:rPr>
          <w:rFonts w:ascii="Arial" w:hAnsi="Arial" w:eastAsia="Noto Sans CJK SC"/>
          <w:b/>
          <w:color w:val="373737"/>
          <w:sz w:val="22"/>
        </w:rPr>
        <w:t>2.1 可复现研究基础</w:t>
      </w:r>
    </w:p>
    <w:p>
      <w:pPr>
        <w:spacing w:line="312" w:lineRule="auto" w:after="60"/>
        <w:ind w:firstLine="420"/>
      </w:pPr>
      <w:r>
        <w:rPr>
          <w:rFonts w:ascii="Times New Roman" w:hAnsi="Times New Roman" w:eastAsia="Noto Sans CJK SC"/>
          <w:sz w:val="20"/>
        </w:rPr>
        <w:t>UAV-SEAD 是本研究的主数据集。数据来自真实 PX4 多旋翼飞行日志，包含约 1396 条已分类日志、52 小时以上真实飞行，以及 Normal、Mechanical &amp; Electrical、External Position、Global Position、Altitude 等类别。数据覆盖 IMU、GPS、气压计、距离传感器、视觉里程计、光流、EKF 等多源遥测，适合研究多变量时序异常。</w:t>
      </w:r>
    </w:p>
    <w:p>
      <w:pPr>
        <w:spacing w:line="312" w:lineRule="auto" w:after="60"/>
        <w:ind w:firstLine="420"/>
      </w:pPr>
      <w:r>
        <w:rPr>
          <w:rFonts w:ascii="Times New Roman" w:hAnsi="Times New Roman" w:eastAsia="Noto Sans CJK SC"/>
          <w:sz w:val="20"/>
        </w:rPr>
        <w:t>AeroTSBoost（2026）是最直接的主 baseline。其核心是将 UAV-SEAD 的多源 telemetry 对齐到 10 Hz，通过滑动窗口和时间统计特征压缩序列，再使用类别平衡的 LightGBM 完成异常检测。该方法使用约 87 个 telemetry channels，并为每个通道计算多类统计/动态描述符，形成结构化窗口特征。其代码、实验配置和数据划分具有较高复现价值，因此本研究优先在该项目上扩展，而不是从零实现深度网络。</w:t>
      </w:r>
    </w:p>
    <w:p>
      <w:pPr>
        <w:spacing w:line="312" w:lineRule="auto" w:after="60"/>
        <w:ind w:firstLine="420"/>
      </w:pPr>
      <w:r>
        <w:rPr>
          <w:rFonts w:ascii="Times New Roman" w:hAnsi="Times New Roman" w:eastAsia="Noto Sans CJK SC"/>
          <w:sz w:val="20"/>
        </w:rPr>
        <w:t>同时使用 ulog_annotation_tool 完成 ULog 解析、CSV 转换、时间同步和标注检查；使用 ALFA 作为固定翼真实故障数据的外部验证集，只验证异常检测层的跨平台泛化，不强行将其故障标签映射为 UAV-SEAD 的四类子系统。</w:t>
      </w:r>
    </w:p>
    <w:p>
      <w:pPr>
        <w:pStyle w:val="Heading2"/>
        <w:keepNext/>
        <w:spacing w:before="100" w:after="60"/>
      </w:pPr>
      <w:r>
        <w:rPr>
          <w:rFonts w:ascii="Arial" w:hAnsi="Arial" w:eastAsia="Noto Sans CJK SC"/>
          <w:b/>
          <w:color w:val="373737"/>
          <w:sz w:val="22"/>
        </w:rPr>
        <w:t>2.2 研究缺口</w:t>
      </w:r>
    </w:p>
    <w:p>
      <w:pPr>
        <w:spacing w:line="312" w:lineRule="auto" w:after="60"/>
        <w:ind w:firstLine="420"/>
      </w:pPr>
      <w:r>
        <w:rPr>
          <w:rFonts w:ascii="Times New Roman" w:hAnsi="Times New Roman" w:eastAsia="Noto Sans CJK SC"/>
          <w:sz w:val="20"/>
        </w:rPr>
        <w:t>现有工作已经能够较好回答“这一段飞行是否异常”，但仍缺少面向真实复杂 telemetry 的统一诊断链条：异常被检测到之后，系统很少继续回答“更可能是哪个子系统出了问题，以及为什么”。AeroTSBoost 虽然包含 failure-family 与 feature importance 分析，但其核心目标仍然是二分类 anomaly detection；因此，可在其成熟检测主干上增加层次化子系统诊断和定量解释验证。</w:t>
      </w:r>
    </w:p>
    <w:p>
      <w:pPr>
        <w:spacing w:line="312" w:lineRule="auto" w:after="60"/>
        <w:ind w:firstLine="420"/>
      </w:pPr>
      <w:r>
        <w:rPr>
          <w:rFonts w:ascii="Times New Roman" w:hAnsi="Times New Roman" w:eastAsia="Noto Sans CJK SC"/>
          <w:sz w:val="20"/>
        </w:rPr>
        <w:t>本研究的创新重点不放在“提出一个更复杂的网络”，而放在诊断粒度与解释链条：Detection → Subsystem Diagnosis → Evidence。这样既降低实现难度，又与 Drones 偏工程验证、UAV 实际运行问题的稿件定位更匹配。</w:t>
      </w:r>
    </w:p>
    <w:p>
      <w:pPr>
        <w:pStyle w:val="Heading1"/>
        <w:keepNext/>
        <w:spacing w:before="140" w:after="60"/>
      </w:pPr>
      <w:r>
        <w:rPr>
          <w:rFonts w:ascii="Arial" w:hAnsi="Arial" w:eastAsia="Noto Sans CJK SC"/>
          <w:b/>
          <w:color w:val="1F4E79"/>
          <w:sz w:val="26"/>
        </w:rPr>
        <w:t>3. 核心研究思路</w:t>
      </w:r>
    </w:p>
    <w:p>
      <w:pPr>
        <w:spacing w:line="312" w:lineRule="auto" w:after="60"/>
        <w:ind w:firstLine="420"/>
      </w:pPr>
      <w:r>
        <w:rPr>
          <w:rFonts w:ascii="Times New Roman" w:hAnsi="Times New Roman" w:eastAsia="Noto Sans CJK SC"/>
          <w:sz w:val="20"/>
        </w:rPr>
        <w:t>提出 HS-AeroTS：在 AeroTSBoost 时间统计特征基础上构建两阶段层次化模型。Stage 1 保留异常检测器，输出 P(Anomaly|W)；Stage 2 仅对被判定为异常的窗口进行子系统诊断，输出四类异常概率；最后使用 TreeSHAP 将模型贡献从统计特征聚合到 telemetry channel、PX4 uORB topic 和 subsystem。</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rPr>
          <w:cantSplit/>
          <w:cantSplit/>
          <w:tblHeader w:val="true"/>
        </w:trPr>
        <w:tc>
          <w:tcPr>
            <w:tcW w:type="dxa" w:w="1134"/>
            <w:vAlign w:val="center"/>
            <w:tcMar>
              <w:top w:w="70" w:type="dxa"/>
              <w:start w:w="80" w:type="dxa"/>
              <w:bottom w:w="70" w:type="dxa"/>
              <w:end w:w="80" w:type="dxa"/>
            </w:tcMar>
            <w:shd w:fill="D9EAF7"/>
          </w:tcPr>
          <w:p>
            <w:r>
              <w:t>PX4 ULog</w:t>
            </w:r>
          </w:p>
        </w:tc>
        <w:tc>
          <w:tcPr>
            <w:tcW w:type="dxa" w:w="1417"/>
            <w:vAlign w:val="center"/>
            <w:tcMar>
              <w:top w:w="70" w:type="dxa"/>
              <w:start w:w="80" w:type="dxa"/>
              <w:bottom w:w="70" w:type="dxa"/>
              <w:end w:w="80" w:type="dxa"/>
            </w:tcMar>
            <w:shd w:fill="D9EAF7"/>
          </w:tcPr>
          <w:p>
            <w:r>
              <w:t>异常检测</w:t>
            </w:r>
          </w:p>
        </w:tc>
        <w:tc>
          <w:tcPr>
            <w:tcW w:type="dxa" w:w="1247"/>
            <w:vAlign w:val="center"/>
            <w:tcMar>
              <w:top w:w="70" w:type="dxa"/>
              <w:start w:w="80" w:type="dxa"/>
              <w:bottom w:w="70" w:type="dxa"/>
              <w:end w:w="80" w:type="dxa"/>
            </w:tcMar>
            <w:shd w:fill="D9EAF7"/>
          </w:tcPr>
          <w:p>
            <w:r>
              <w:t>故障域诊断</w:t>
            </w:r>
          </w:p>
        </w:tc>
        <w:tc>
          <w:tcPr>
            <w:tcW w:type="dxa" w:w="1247"/>
            <w:vAlign w:val="center"/>
            <w:tcMar>
              <w:top w:w="70" w:type="dxa"/>
              <w:start w:w="80" w:type="dxa"/>
              <w:bottom w:w="70" w:type="dxa"/>
              <w:end w:w="80" w:type="dxa"/>
            </w:tcMar>
            <w:shd w:fill="D9EAF7"/>
          </w:tcPr>
          <w:p>
            <w:r>
              <w:t>SHAP→topic</w:t>
            </w:r>
          </w:p>
        </w:tc>
        <w:tc>
          <w:tcPr>
            <w:tcW w:type="dxa" w:w="1361"/>
            <w:vAlign w:val="center"/>
            <w:tcMar>
              <w:top w:w="70" w:type="dxa"/>
              <w:start w:w="80" w:type="dxa"/>
              <w:bottom w:w="70" w:type="dxa"/>
              <w:end w:w="80" w:type="dxa"/>
            </w:tcMar>
            <w:shd w:fill="D9EAF7"/>
          </w:tcPr>
          <w:p>
            <w:r>
              <w:t>topic→module</w:t>
            </w:r>
          </w:p>
        </w:tc>
        <w:tc>
          <w:tcPr>
            <w:tcW w:type="dxa" w:w="1134"/>
            <w:vAlign w:val="center"/>
            <w:tcMar>
              <w:top w:w="70" w:type="dxa"/>
              <w:start w:w="80" w:type="dxa"/>
              <w:bottom w:w="70" w:type="dxa"/>
              <w:end w:w="80" w:type="dxa"/>
            </w:tcMar>
            <w:shd w:fill="D9EAF7"/>
          </w:tcPr>
          <w:p>
            <w:r>
              <w:t>SITL 真值</w:t>
            </w:r>
          </w:p>
        </w:tc>
        <w:tc>
          <w:tcPr>
            <w:tcW w:type="dxa" w:w="1247"/>
            <w:vAlign w:val="center"/>
            <w:tcMar>
              <w:top w:w="70" w:type="dxa"/>
              <w:start w:w="80" w:type="dxa"/>
              <w:bottom w:w="70" w:type="dxa"/>
              <w:end w:w="80" w:type="dxa"/>
            </w:tcMar>
            <w:shd w:fill="D9EAF7"/>
          </w:tcPr>
          <w:p>
            <w:r>
              <w:t>模块排名+证据</w:t>
            </w:r>
          </w:p>
        </w:tc>
      </w:tr>
    </w:tbl>
    <w:p>
      <w:pPr>
        <w:spacing w:line="312" w:lineRule="auto" w:after="60"/>
        <w:ind w:firstLine="420"/>
      </w:pPr>
      <w:r>
        <w:rPr>
          <w:rFonts w:ascii="Times New Roman" w:hAnsi="Times New Roman" w:eastAsia="Noto Sans CJK SC"/>
          <w:sz w:val="20"/>
        </w:rPr>
        <w:t>子系统诊断优先采用 One-vs-Rest LightGBM experts 或 multiclass LightGBM，不采用大规模 Transformer。对于 Mechanical/Electrical、External Position、Global Position、Altitude 四类，分别构建与其物理/状态估计含义一致的 telemetry group，例如 actuator/vibration/battery、visual odometry/optical flow、GPS/global position/EKF innovation、barometer/distance sensor/vertical position。全局特征与子系统组特征共同输入模型，以验证“subsystem-aware grouping”是否真的提升诊断稳定性。</w:t>
      </w:r>
    </w:p>
    <w:p>
      <w:pPr>
        <w:pStyle w:val="Heading1"/>
        <w:keepNext/>
        <w:spacing w:before="140" w:after="60"/>
      </w:pPr>
      <w:r>
        <w:rPr>
          <w:rFonts w:ascii="Arial" w:hAnsi="Arial" w:eastAsia="Noto Sans CJK SC"/>
          <w:b/>
          <w:color w:val="1F4E79"/>
          <w:sz w:val="26"/>
        </w:rPr>
        <w:t>4. 方法设计与开源项目修改</w:t>
      </w:r>
    </w:p>
    <w:p>
      <w:pPr>
        <w:pStyle w:val="Heading2"/>
        <w:keepNext/>
        <w:spacing w:before="100" w:after="60"/>
      </w:pPr>
      <w:r>
        <w:rPr>
          <w:rFonts w:ascii="Arial" w:hAnsi="Arial" w:eastAsia="Noto Sans CJK SC"/>
          <w:b/>
          <w:color w:val="373737"/>
          <w:sz w:val="22"/>
        </w:rPr>
        <w:t>4.1 数据与标签设计</w:t>
      </w:r>
    </w:p>
    <w:p>
      <w:pPr/>
      <w:r>
        <w:t>真实飞行分支沿用 P1–P7 的固定 UAV-SEAD 标注、10 Hz 对齐、96/8/12 窗口及原有划分，不回写既有结果。该分支的标签只支持异常窗口和故障域。软件定位分支使用 PX4 SITL 受控注入数据，额外记录 firmware commit、注入模块、源文件、注入时间与故障类型，以提供模块级定位真值。</w:t>
      </w:r>
    </w:p>
    <w:p>
      <w:pPr/>
      <w:r>
        <w:t>Mechanical/Electrical 类在真实飞行评测中保留为重要故障域，但在软件模块定位评测中作为非软件来源对照；除非对应案例具有明确的软件注入记录，否则不得计为软件缺陷样本。</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cantSplit/>
          <w:cantSplit/>
          <w:tblHeader w:val="true"/>
        </w:trPr>
        <w:tc>
          <w:tcPr>
            <w:tcW w:type="dxa" w:w="153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资源</w:t>
            </w:r>
          </w:p>
        </w:tc>
        <w:tc>
          <w:tcPr>
            <w:tcW w:type="dxa" w:w="1417"/>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用途</w:t>
            </w:r>
          </w:p>
        </w:tc>
        <w:tc>
          <w:tcPr>
            <w:tcW w:type="dxa" w:w="3288"/>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主要内容</w:t>
            </w:r>
          </w:p>
        </w:tc>
        <w:tc>
          <w:tcPr>
            <w:tcW w:type="dxa" w:w="1247"/>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是否直接训练</w:t>
            </w:r>
          </w:p>
        </w:tc>
        <w:tc>
          <w:tcPr>
            <w:tcW w:type="dxa" w:w="1757"/>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备注</w:t>
            </w:r>
          </w:p>
        </w:tc>
      </w:tr>
      <w:tr>
        <w:trPr>
          <w:cantSplit/>
          <w:cantSplit/>
        </w:trPr>
        <w:tc>
          <w:tcPr>
            <w:tcW w:type="dxa" w:w="153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UAV-SEAD</w:t>
            </w:r>
          </w:p>
        </w:tc>
        <w:tc>
          <w:tcPr>
            <w:tcW w:type="dxa" w:w="141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主数据集</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真实 PX4 多源遥测；Normal + 4 类异常</w:t>
            </w:r>
          </w:p>
        </w:tc>
        <w:tc>
          <w:tcPr>
            <w:tcW w:type="dxa" w:w="124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是</w:t>
            </w:r>
          </w:p>
        </w:tc>
        <w:tc>
          <w:tcPr>
            <w:tcW w:type="dxa" w:w="175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四分类与二分类均使用</w:t>
            </w:r>
          </w:p>
        </w:tc>
      </w:tr>
      <w:tr>
        <w:trPr>
          <w:cantSplit/>
          <w:cantSplit/>
        </w:trPr>
        <w:tc>
          <w:tcPr>
            <w:tcW w:type="dxa" w:w="153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ALFA</w:t>
            </w:r>
          </w:p>
        </w:tc>
        <w:tc>
          <w:tcPr>
            <w:tcW w:type="dxa" w:w="141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外部验证</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固定翼真实故障飞行序列</w:t>
            </w:r>
          </w:p>
        </w:tc>
        <w:tc>
          <w:tcPr>
            <w:tcW w:type="dxa" w:w="124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仅异常检测</w:t>
            </w:r>
          </w:p>
        </w:tc>
        <w:tc>
          <w:tcPr>
            <w:tcW w:type="dxa" w:w="175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验证跨平台泛化</w:t>
            </w:r>
          </w:p>
        </w:tc>
      </w:tr>
      <w:tr>
        <w:trPr>
          <w:cantSplit/>
          <w:cantSplit/>
        </w:trPr>
        <w:tc>
          <w:tcPr>
            <w:tcW w:type="dxa" w:w="153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Uncategorized flights</w:t>
            </w:r>
          </w:p>
        </w:tc>
        <w:tc>
          <w:tcPr>
            <w:tcW w:type="dxa" w:w="141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可选增强</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UAV-SEAD 未归类异常</w:t>
            </w:r>
          </w:p>
        </w:tc>
        <w:tc>
          <w:tcPr>
            <w:tcW w:type="dxa" w:w="124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否/后期</w:t>
            </w:r>
          </w:p>
        </w:tc>
        <w:tc>
          <w:tcPr>
            <w:tcW w:type="dxa" w:w="1757"/>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可做 Unknown Fault</w:t>
            </w:r>
          </w:p>
        </w:tc>
      </w:tr>
      <w:tr>
        <w:trPr>
          <w:cantSplit/>
        </w:trPr>
        <w:tc>
          <w:tcPr>
            <w:tcW w:type="dxa" w:w="1972"/>
          </w:tcPr>
          <w:p>
            <w:r>
              <w:t>PX4 SITL mutations</w:t>
            </w:r>
          </w:p>
        </w:tc>
        <w:tc>
          <w:tcPr>
            <w:tcW w:type="dxa" w:w="1972"/>
          </w:tcPr>
          <w:p>
            <w:r>
              <w:t>软件定位验证</w:t>
            </w:r>
          </w:p>
        </w:tc>
        <w:tc>
          <w:tcPr>
            <w:tcW w:type="dxa" w:w="1972"/>
          </w:tcPr>
          <w:p>
            <w:r>
              <w:t>4–6 类已知模块软件故障与正常任务</w:t>
            </w:r>
          </w:p>
        </w:tc>
        <w:tc>
          <w:tcPr>
            <w:tcW w:type="dxa" w:w="1972"/>
          </w:tcPr>
          <w:p>
            <w:r>
              <w:t>独立训练/测试</w:t>
            </w:r>
          </w:p>
        </w:tc>
        <w:tc>
          <w:tcPr>
            <w:tcW w:type="dxa" w:w="1972"/>
          </w:tcPr>
          <w:p>
            <w:r>
              <w:t>提供 module-level ground truth</w:t>
            </w:r>
          </w:p>
        </w:tc>
      </w:tr>
      <w:tr>
        <w:trPr>
          <w:cantSplit/>
        </w:trPr>
        <w:tc>
          <w:tcPr>
            <w:tcW w:type="dxa" w:w="1972"/>
          </w:tcPr>
          <w:p>
            <w:r>
              <w:t>PX4-Autopilot source</w:t>
            </w:r>
          </w:p>
        </w:tc>
        <w:tc>
          <w:tcPr>
            <w:tcW w:type="dxa" w:w="1972"/>
          </w:tcPr>
          <w:p>
            <w:r>
              <w:t>软件架构映射</w:t>
            </w:r>
          </w:p>
        </w:tc>
        <w:tc>
          <w:tcPr>
            <w:tcW w:type="dxa" w:w="1972"/>
          </w:tcPr>
          <w:p>
            <w:r>
              <w:t>按 ULog ver_sw 固定版本的 uORB 发布/订阅关系</w:t>
            </w:r>
          </w:p>
        </w:tc>
        <w:tc>
          <w:tcPr>
            <w:tcW w:type="dxa" w:w="1972"/>
          </w:tcPr>
          <w:p>
            <w:r>
              <w:t>否</w:t>
            </w:r>
          </w:p>
        </w:tc>
        <w:tc>
          <w:tcPr>
            <w:tcW w:type="dxa" w:w="1972"/>
          </w:tcPr>
          <w:p>
            <w:r>
              <w:t>映射 topic 到模块与源码目录</w:t>
            </w:r>
          </w:p>
        </w:tc>
      </w:tr>
    </w:tbl>
    <w:p>
      <w:pPr>
        <w:pStyle w:val="Heading2"/>
        <w:keepNext/>
        <w:spacing w:before="100" w:after="60"/>
      </w:pPr>
      <w:r>
        <w:rPr>
          <w:rFonts w:ascii="Arial" w:hAnsi="Arial" w:eastAsia="Noto Sans CJK SC"/>
          <w:b/>
          <w:color w:val="373737"/>
          <w:sz w:val="22"/>
        </w:rPr>
        <w:t>4.2 基于哪些开源项目修改</w:t>
      </w:r>
    </w:p>
    <w:p>
      <w:pPr/>
      <w:r>
        <w:t>在既有 AeroTSBoost 与 ulog_annotation_tool 基础上，引入与 ULog 中 ver_sw 对应的 PX4-Autopilot 源码。静态解析 Publication、Subscription、ORB_ID、orb_advertise 与 orb_publish 等接口，建立 topic→publisher/subscriber→module→source directory 映射；SITL 采用可复现任务脚本和独立 mutation patch，不修改 P1–P7 原始数据。</w:t>
      </w:r>
    </w:p>
    <w:tbl>
      <w:tblPr>
        <w:tblStyle w:val="TableGrid"/>
        <w:tblW w:type="auto" w:w="0"/>
        <w:jc w:val="center"/>
        <w:tblLook w:firstColumn="1" w:firstRow="1" w:lastColumn="0" w:lastRow="0" w:noHBand="0" w:noVBand="1" w:val="04A0"/>
      </w:tblPr>
      <w:tblGrid>
        <w:gridCol w:w="2465"/>
        <w:gridCol w:w="2465"/>
        <w:gridCol w:w="2465"/>
        <w:gridCol w:w="2465"/>
      </w:tblGrid>
      <w:tr>
        <w:trPr>
          <w:cantSplit/>
          <w:cantSplit/>
          <w:tblHeader w:val="true"/>
        </w:trPr>
        <w:tc>
          <w:tcPr>
            <w:tcW w:type="dxa" w:w="170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项目</w:t>
            </w:r>
          </w:p>
        </w:tc>
        <w:tc>
          <w:tcPr>
            <w:tcW w:type="dxa" w:w="170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本研究角色</w:t>
            </w:r>
          </w:p>
        </w:tc>
        <w:tc>
          <w:tcPr>
            <w:tcW w:type="dxa" w:w="306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保留内容</w:t>
            </w:r>
          </w:p>
        </w:tc>
        <w:tc>
          <w:tcPr>
            <w:tcW w:type="dxa" w:w="2835"/>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计划修改/新增</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AeroTSBoost</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主工程/主 baseline</w:t>
            </w:r>
          </w:p>
        </w:tc>
        <w:tc>
          <w:tcPr>
            <w:tcW w:type="dxa" w:w="306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10 Hz 对齐、滑窗、时序统计特征、LightGBM、严格划分</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层次标签、Stage 2、子系统分组、SHAP 聚合与解释指标</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ulog_annotation_tool</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数据工程辅助</w:t>
            </w:r>
          </w:p>
        </w:tc>
        <w:tc>
          <w:tcPr>
            <w:tcW w:type="dxa" w:w="306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ULog→CSV、同步、可视化、标注检查</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仅必要接口适配，不做方法创新</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CATCH / GCAD</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近期模型 baseline</w:t>
            </w:r>
          </w:p>
        </w:tc>
        <w:tc>
          <w:tcPr>
            <w:tcW w:type="dxa" w:w="306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官方时序异常检测实现</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只做 UAV-SEAD adapter 与统一评测</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Random Forest / LSTM-AE</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传统 baseline</w:t>
            </w:r>
          </w:p>
        </w:tc>
        <w:tc>
          <w:tcPr>
            <w:tcW w:type="dxa" w:w="306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经典分类/重构模型</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统一数据划分与指标</w:t>
            </w:r>
          </w:p>
        </w:tc>
      </w:tr>
      <w:tr>
        <w:trPr>
          <w:cantSplit/>
        </w:trPr>
        <w:tc>
          <w:tcPr>
            <w:tcW w:type="dxa" w:w="2465"/>
          </w:tcPr>
          <w:p>
            <w:r>
              <w:t>PX4-Autopilot / SITL</w:t>
            </w:r>
          </w:p>
        </w:tc>
        <w:tc>
          <w:tcPr>
            <w:tcW w:type="dxa" w:w="2465"/>
          </w:tcPr>
          <w:p>
            <w:r>
              <w:t>路线 C 软件定位主干</w:t>
            </w:r>
          </w:p>
        </w:tc>
        <w:tc>
          <w:tcPr>
            <w:tcW w:type="dxa" w:w="2465"/>
          </w:tcPr>
          <w:p>
            <w:r>
              <w:t>固件源码、uORB 图、仿真任务</w:t>
            </w:r>
          </w:p>
        </w:tc>
        <w:tc>
          <w:tcPr>
            <w:tcW w:type="dxa" w:w="2465"/>
          </w:tcPr>
          <w:p>
            <w:r>
              <w:t>静态映射、mutation patches、模块定位指标</w:t>
            </w:r>
          </w:p>
        </w:tc>
      </w:tr>
    </w:tbl>
    <w:p>
      <w:pPr>
        <w:pStyle w:val="Heading2"/>
        <w:keepNext/>
        <w:spacing w:before="100" w:after="60"/>
      </w:pPr>
      <w:r>
        <w:rPr>
          <w:rFonts w:ascii="Arial" w:hAnsi="Arial" w:eastAsia="Noto Sans CJK SC"/>
          <w:b/>
          <w:color w:val="373737"/>
          <w:sz w:val="22"/>
        </w:rPr>
        <w:t>4.3 分层可解释机制</w:t>
      </w:r>
    </w:p>
    <w:p>
      <w:pPr>
        <w:spacing w:line="312" w:lineRule="auto" w:after="60"/>
        <w:ind w:firstLine="420"/>
      </w:pPr>
      <w:r>
        <w:rPr>
          <w:rFonts w:ascii="Times New Roman" w:hAnsi="Times New Roman" w:eastAsia="Noto Sans CJK SC"/>
          <w:sz w:val="20"/>
        </w:rPr>
        <w:t>对 LightGBM 使用 TreeSHAP，但解释不止停留在单个 feature importance。建立“统计描述符 → telemetry channel → PX4 topic → subsystem”的四层映射，将同一 channel/topic 的 SHAP 贡献聚合，从而生成面向工程诊断的子系统证据。</w:t>
      </w:r>
    </w:p>
    <w:p>
      <w:pPr>
        <w:spacing w:line="312" w:lineRule="auto" w:after="60"/>
        <w:ind w:firstLine="420"/>
      </w:pPr>
      <w:r>
        <w:rPr>
          <w:rFonts w:ascii="Times New Roman" w:hAnsi="Times New Roman" w:eastAsia="Noto Sans CJK SC"/>
          <w:sz w:val="20"/>
        </w:rPr>
        <w:t>为避免解释仅停留在可视化，设计两个定量指标：① Top-k Feature Masking：删除 SHAP 排名前 k 的特征后重新评估，与随机删除同等数量特征比较性能下降；② Subsystem Consistency@K：统计 Top-K 高贡献信号所属 subsystem 与真实异常类别的一致程度。</w:t>
      </w:r>
    </w:p>
    <w:p>
      <w:pPr>
        <w:pStyle w:val="Heading2"/>
      </w:pPr>
      <w:r>
        <w:t>4.4 软件架构感知的模块可疑度</w:t>
      </w:r>
    </w:p>
    <w:p>
      <w:pPr/>
      <w:r>
        <w:t>对每条日志提取 ver_sw、硬件和系统版本，按固件提交选择对应 PX4 源码。将 topic 级绝对 SHAP 贡献沿软件架构二部图传播到 publisher 与 subscriber 模块，分别报告 producer-only、consumer-only 和双向传播结果。模块得分需满足贡献守恒，并通过随机映射、均匀传播和 topic-only 排名进行消融。</w:t>
      </w:r>
    </w:p>
    <w:p>
      <w:pPr>
        <w:pStyle w:val="Heading2"/>
      </w:pPr>
      <w:r>
        <w:t>4.5 小型 SITL 软件故障注入</w:t>
      </w:r>
    </w:p>
    <w:p>
      <w:pPr/>
      <w:r>
        <w:t>选择 4–6 个与现有故障域相关的 PX4 模块，设计可恢复、可审计的软件 mutation，例如 uORB 发布停止/延迟、状态更新冻结、符号或单位错误、偏置注入和饱和逻辑错误。每类执行多次正常与故障任务，固定航迹、仿真环境、随机种子、注入时刻和采集通道；以注入模块为真值评估 Top-k Recall、MRR、MAP、EXAM 与检测延迟。</w:t>
      </w:r>
    </w:p>
    <w:p>
      <w:pPr>
        <w:pStyle w:val="Heading1"/>
        <w:keepNext/>
        <w:spacing w:before="140" w:after="60"/>
      </w:pPr>
      <w:r>
        <w:rPr>
          <w:rFonts w:ascii="Arial" w:hAnsi="Arial" w:eastAsia="Noto Sans CJK SC"/>
          <w:b/>
          <w:color w:val="1F4E79"/>
          <w:sz w:val="26"/>
        </w:rPr>
        <w:t>5. 实验设计</w:t>
      </w:r>
    </w:p>
    <w:p>
      <w:pPr>
        <w:spacing w:line="312" w:lineRule="auto" w:after="60"/>
        <w:ind w:firstLine="420"/>
      </w:pPr>
      <w:r>
        <w:rPr>
          <w:rFonts w:ascii="Times New Roman" w:hAnsi="Times New Roman" w:eastAsia="Noto Sans CJK SC"/>
          <w:sz w:val="20"/>
        </w:rPr>
        <w:t>实验以“先复现、再扩展、最后泛化验证”为原则，控制为六组核心实验。所有模型尽可能使用同一 flight-level / chronological 划分，避免相邻滑窗跨越训练集和测试集产生泄漏。</w:t>
      </w:r>
    </w:p>
    <w:tbl>
      <w:tblPr>
        <w:tblStyle w:val="TableGrid"/>
        <w:tblW w:type="auto" w:w="0"/>
        <w:jc w:val="center"/>
        <w:tblLook w:firstColumn="1" w:firstRow="1" w:lastColumn="0" w:lastRow="0" w:noHBand="0" w:noVBand="1" w:val="04A0"/>
      </w:tblPr>
      <w:tblGrid>
        <w:gridCol w:w="2465"/>
        <w:gridCol w:w="2465"/>
        <w:gridCol w:w="2465"/>
        <w:gridCol w:w="2465"/>
      </w:tblGrid>
      <w:tr>
        <w:trPr>
          <w:cantSplit/>
          <w:cantSplit/>
          <w:tblHeader w:val="true"/>
        </w:trPr>
        <w:tc>
          <w:tcPr>
            <w:tcW w:type="dxa" w:w="170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实验</w:t>
            </w:r>
          </w:p>
        </w:tc>
        <w:tc>
          <w:tcPr>
            <w:tcW w:type="dxa" w:w="289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核心问题</w:t>
            </w:r>
          </w:p>
        </w:tc>
        <w:tc>
          <w:tcPr>
            <w:tcW w:type="dxa" w:w="3288"/>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主要对比</w:t>
            </w:r>
          </w:p>
        </w:tc>
        <w:tc>
          <w:tcPr>
            <w:tcW w:type="dxa" w:w="1984"/>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主要指标</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E1 AeroTSBoost 复现</w:t>
            </w:r>
          </w:p>
        </w:tc>
        <w:tc>
          <w:tcPr>
            <w:tcW w:type="dxa" w:w="289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确认数据处理与主 baseline 可重复</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论文报告值 vs 本地复现</w:t>
            </w:r>
          </w:p>
        </w:tc>
        <w:tc>
          <w:tcPr>
            <w:tcW w:type="dxa" w:w="198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AUPRC, AUROC, F1, Event-F1</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E2 异常检测</w:t>
            </w:r>
          </w:p>
        </w:tc>
        <w:tc>
          <w:tcPr>
            <w:tcW w:type="dxa" w:w="289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本文检测层是否保持/提升性能</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AeroTSBoost, CATCH, GCAD, RF, LSTM-AE</w:t>
            </w:r>
          </w:p>
        </w:tc>
        <w:tc>
          <w:tcPr>
            <w:tcW w:type="dxa" w:w="198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AUPRC 为主，兼顾 F1/AUROC</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E3 子系统诊断</w:t>
            </w:r>
          </w:p>
        </w:tc>
        <w:tc>
          <w:tcPr>
            <w:tcW w:type="dxa" w:w="289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两阶段是否优于直接五分类/四分类</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RF-MC, LightGBM-MC, MLP, 单阶段 vs HS-AeroTS</w:t>
            </w:r>
          </w:p>
        </w:tc>
        <w:tc>
          <w:tcPr>
            <w:tcW w:type="dxa" w:w="198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Macro-F1, BA, per-class Recall</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E4 可解释性</w:t>
            </w:r>
          </w:p>
        </w:tc>
        <w:tc>
          <w:tcPr>
            <w:tcW w:type="dxa" w:w="289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解释是否对应真正重要信号/子系统</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Top-k Masking, Random-k, Consistency@K</w:t>
            </w:r>
          </w:p>
        </w:tc>
        <w:tc>
          <w:tcPr>
            <w:tcW w:type="dxa" w:w="198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性能下降, Consistency@K</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E5 防泄漏/泛化</w:t>
            </w:r>
          </w:p>
        </w:tc>
        <w:tc>
          <w:tcPr>
            <w:tcW w:type="dxa" w:w="289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结果是否依赖窗口重叠或单一日志</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Chronological, Purged, Leave-log-out</w:t>
            </w:r>
          </w:p>
        </w:tc>
        <w:tc>
          <w:tcPr>
            <w:tcW w:type="dxa" w:w="198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AUPRC, Macro-F1</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E6 外部验证</w:t>
            </w:r>
          </w:p>
        </w:tc>
        <w:tc>
          <w:tcPr>
            <w:tcW w:type="dxa" w:w="289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异常检测是否跨 UAV 平台有效</w:t>
            </w:r>
          </w:p>
        </w:tc>
        <w:tc>
          <w:tcPr>
            <w:tcW w:type="dxa" w:w="328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ALFA 上 AeroTSBoost/RF/HS-AeroTS</w:t>
            </w:r>
          </w:p>
        </w:tc>
        <w:tc>
          <w:tcPr>
            <w:tcW w:type="dxa" w:w="198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AUPRC, F1, Event-F1</w:t>
            </w:r>
          </w:p>
        </w:tc>
      </w:tr>
      <w:tr>
        <w:trPr>
          <w:cantSplit/>
        </w:trPr>
        <w:tc>
          <w:tcPr>
            <w:tcW w:type="dxa" w:w="2465"/>
          </w:tcPr>
          <w:p>
            <w:r>
              <w:t>E7 软件架构映射</w:t>
            </w:r>
          </w:p>
        </w:tc>
        <w:tc>
          <w:tcPr>
            <w:tcW w:type="dxa" w:w="2465"/>
          </w:tcPr>
          <w:p>
            <w:r>
              <w:t>topic 证据能否追溯到 PX4 模块</w:t>
            </w:r>
          </w:p>
        </w:tc>
        <w:tc>
          <w:tcPr>
            <w:tcW w:type="dxa" w:w="2465"/>
          </w:tcPr>
          <w:p>
            <w:r>
              <w:t>producer/consumer/双向传播与随机映射</w:t>
            </w:r>
          </w:p>
        </w:tc>
        <w:tc>
          <w:tcPr>
            <w:tcW w:type="dxa" w:w="2465"/>
          </w:tcPr>
          <w:p>
            <w:r>
              <w:t>覆盖率、守恒误差、Module Consistency</w:t>
            </w:r>
          </w:p>
        </w:tc>
      </w:tr>
      <w:tr>
        <w:trPr>
          <w:cantSplit/>
        </w:trPr>
        <w:tc>
          <w:tcPr>
            <w:tcW w:type="dxa" w:w="2465"/>
          </w:tcPr>
          <w:p>
            <w:r>
              <w:t>E8 SITL 模块定位</w:t>
            </w:r>
          </w:p>
        </w:tc>
        <w:tc>
          <w:tcPr>
            <w:tcW w:type="dxa" w:w="2465"/>
          </w:tcPr>
          <w:p>
            <w:r>
              <w:t>能否命中实际注入软件模块</w:t>
            </w:r>
          </w:p>
        </w:tc>
        <w:tc>
          <w:tcPr>
            <w:tcW w:type="dxa" w:w="2465"/>
          </w:tcPr>
          <w:p>
            <w:r>
              <w:t>HS-AeroTS-FL、topic-only、均匀传播、随机排序</w:t>
            </w:r>
          </w:p>
        </w:tc>
        <w:tc>
          <w:tcPr>
            <w:tcW w:type="dxa" w:w="2465"/>
          </w:tcPr>
          <w:p>
            <w:r>
              <w:t>Top-k Recall、MRR、MAP、EXAM、延迟</w:t>
            </w:r>
          </w:p>
        </w:tc>
      </w:tr>
      <w:tr>
        <w:trPr>
          <w:cantSplit/>
        </w:trPr>
        <w:tc>
          <w:tcPr>
            <w:tcW w:type="dxa" w:w="2465"/>
          </w:tcPr>
          <w:p>
            <w:r>
              <w:t>E9 补充稳健性</w:t>
            </w:r>
          </w:p>
        </w:tc>
        <w:tc>
          <w:tcPr>
            <w:tcW w:type="dxa" w:w="2465"/>
          </w:tcPr>
          <w:p>
            <w:r>
              <w:t>层次结构是否在严格协议下成立</w:t>
            </w:r>
          </w:p>
        </w:tc>
        <w:tc>
          <w:tcPr>
            <w:tcW w:type="dxa" w:w="2465"/>
          </w:tcPr>
          <w:p>
            <w:r>
              <w:t>cascade vs direct five-class；purged/LLO</w:t>
            </w:r>
          </w:p>
        </w:tc>
        <w:tc>
          <w:tcPr>
            <w:tcW w:type="dxa" w:w="2465"/>
          </w:tcPr>
          <w:p>
            <w:r>
              <w:t>Macro-F1、BA、AUPRC、bootstrap CI</w:t>
            </w:r>
          </w:p>
        </w:tc>
      </w:tr>
    </w:tbl>
    <w:p>
      <w:pPr>
        <w:pStyle w:val="Heading2"/>
        <w:keepNext/>
        <w:spacing w:before="100" w:after="60"/>
      </w:pPr>
      <w:r>
        <w:rPr>
          <w:rFonts w:ascii="Arial" w:hAnsi="Arial" w:eastAsia="Noto Sans CJK SC"/>
          <w:b/>
          <w:color w:val="373737"/>
          <w:sz w:val="22"/>
        </w:rPr>
        <w:t>5.1 Baseline 选择</w:t>
      </w:r>
    </w:p>
    <w:p>
      <w:pPr>
        <w:spacing w:line="312" w:lineRule="auto" w:after="60"/>
        <w:ind w:firstLine="420"/>
      </w:pPr>
      <w:r>
        <w:rPr>
          <w:rFonts w:ascii="Times New Roman" w:hAnsi="Times New Roman" w:eastAsia="Noto Sans CJK SC"/>
          <w:sz w:val="20"/>
        </w:rPr>
        <w:t>正文不追求大量 baseline，建议控制在 5–6 个有代表性的方法。核心是与 2025–2026 年近期时序异常检测方法和直接 UAV baseline 对比，传统模型用于体现增益来源。</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cantSplit/>
          <w:cantSplit/>
          <w:tblHeader w:val="true"/>
        </w:trPr>
        <w:tc>
          <w:tcPr>
            <w:tcW w:type="dxa" w:w="170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方法</w:t>
            </w:r>
          </w:p>
        </w:tc>
        <w:tc>
          <w:tcPr>
            <w:tcW w:type="dxa" w:w="850"/>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年份</w:t>
            </w:r>
          </w:p>
        </w:tc>
        <w:tc>
          <w:tcPr>
            <w:tcW w:type="dxa" w:w="2948"/>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类型</w:t>
            </w:r>
          </w:p>
        </w:tc>
        <w:tc>
          <w:tcPr>
            <w:tcW w:type="dxa" w:w="1701"/>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代码情况</w:t>
            </w:r>
          </w:p>
        </w:tc>
        <w:tc>
          <w:tcPr>
            <w:tcW w:type="dxa" w:w="2154"/>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建议用途</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AeroTSBoost</w:t>
            </w:r>
          </w:p>
        </w:tc>
        <w:tc>
          <w:tcPr>
            <w:tcW w:type="dxa" w:w="85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2026</w:t>
            </w:r>
          </w:p>
        </w:tc>
        <w:tc>
          <w:tcPr>
            <w:tcW w:type="dxa" w:w="294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UAV telemetry + LightGBM</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公开/可复现</w:t>
            </w:r>
          </w:p>
        </w:tc>
        <w:tc>
          <w:tcPr>
            <w:tcW w:type="dxa" w:w="215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最重要主 baseline</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CATCH</w:t>
            </w:r>
          </w:p>
        </w:tc>
        <w:tc>
          <w:tcPr>
            <w:tcW w:type="dxa" w:w="85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2025</w:t>
            </w:r>
          </w:p>
        </w:tc>
        <w:tc>
          <w:tcPr>
            <w:tcW w:type="dxa" w:w="294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频域/通道感知时序异常检测</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官方代码</w:t>
            </w:r>
          </w:p>
        </w:tc>
        <w:tc>
          <w:tcPr>
            <w:tcW w:type="dxa" w:w="215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近期强 baseline</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GCAD</w:t>
            </w:r>
          </w:p>
        </w:tc>
        <w:tc>
          <w:tcPr>
            <w:tcW w:type="dxa" w:w="85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2025</w:t>
            </w:r>
          </w:p>
        </w:tc>
        <w:tc>
          <w:tcPr>
            <w:tcW w:type="dxa" w:w="294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Granger 因果多变量异常检测</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官方代码</w:t>
            </w:r>
          </w:p>
        </w:tc>
        <w:tc>
          <w:tcPr>
            <w:tcW w:type="dxa" w:w="215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近期强 baseline</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xLSTMAD</w:t>
            </w:r>
          </w:p>
        </w:tc>
        <w:tc>
          <w:tcPr>
            <w:tcW w:type="dxa" w:w="85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2025</w:t>
            </w:r>
          </w:p>
        </w:tc>
        <w:tc>
          <w:tcPr>
            <w:tcW w:type="dxa" w:w="294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xLSTM 时序异常检测</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有公开实现</w:t>
            </w:r>
          </w:p>
        </w:tc>
        <w:tc>
          <w:tcPr>
            <w:tcW w:type="dxa" w:w="215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时间允许时补充</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Random Forest</w:t>
            </w:r>
          </w:p>
        </w:tc>
        <w:tc>
          <w:tcPr>
            <w:tcW w:type="dxa" w:w="85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经典</w:t>
            </w:r>
          </w:p>
        </w:tc>
        <w:tc>
          <w:tcPr>
            <w:tcW w:type="dxa" w:w="294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统计学习</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成熟</w:t>
            </w:r>
          </w:p>
        </w:tc>
        <w:tc>
          <w:tcPr>
            <w:tcW w:type="dxa" w:w="215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传统 baseline</w:t>
            </w:r>
          </w:p>
        </w:tc>
      </w:tr>
      <w:tr>
        <w:trPr>
          <w:cantSplit/>
          <w:cantSplit/>
        </w:trPr>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LSTM-AE</w:t>
            </w:r>
          </w:p>
        </w:tc>
        <w:tc>
          <w:tcPr>
            <w:tcW w:type="dxa" w:w="85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经典</w:t>
            </w:r>
          </w:p>
        </w:tc>
        <w:tc>
          <w:tcPr>
            <w:tcW w:type="dxa" w:w="294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序列重构</w:t>
            </w:r>
          </w:p>
        </w:tc>
        <w:tc>
          <w:tcPr>
            <w:tcW w:type="dxa" w:w="1701"/>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成熟</w:t>
            </w:r>
          </w:p>
        </w:tc>
        <w:tc>
          <w:tcPr>
            <w:tcW w:type="dxa" w:w="2154"/>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深度传统 baseline</w:t>
            </w:r>
          </w:p>
        </w:tc>
      </w:tr>
    </w:tbl>
    <w:p>
      <w:pPr>
        <w:pStyle w:val="Heading2"/>
        <w:keepNext/>
        <w:spacing w:before="100" w:after="60"/>
      </w:pPr>
      <w:r>
        <w:rPr>
          <w:rFonts w:ascii="Arial" w:hAnsi="Arial" w:eastAsia="Noto Sans CJK SC"/>
          <w:b/>
          <w:color w:val="373737"/>
          <w:sz w:val="22"/>
        </w:rPr>
        <w:t>5.2 消融与统计验证</w:t>
      </w:r>
    </w:p>
    <w:p>
      <w:pPr>
        <w:pStyle w:val="ListBullet"/>
        <w:spacing w:after="20" w:line="312" w:lineRule="auto"/>
      </w:pPr>
      <w:r>
        <w:rPr>
          <w:rFonts w:ascii="Times New Roman" w:hAnsi="Times New Roman" w:eastAsia="Noto Sans CJK SC"/>
          <w:sz w:val="20"/>
        </w:rPr>
        <w:t>No Hierarchy：直接做 Normal + 四异常五分类，验证两阶段结构是否必要。</w:t>
      </w:r>
    </w:p>
    <w:p>
      <w:pPr>
        <w:pStyle w:val="ListBullet"/>
        <w:spacing w:after="20" w:line="312" w:lineRule="auto"/>
      </w:pPr>
      <w:r>
        <w:rPr>
          <w:rFonts w:ascii="Times New Roman" w:hAnsi="Times New Roman" w:eastAsia="Noto Sans CJK SC"/>
          <w:sz w:val="20"/>
        </w:rPr>
        <w:t>No Subsystem Grouping：取消 telemetry → subsystem 分组，验证领域先验是否有效。</w:t>
      </w:r>
    </w:p>
    <w:p>
      <w:pPr>
        <w:pStyle w:val="ListBullet"/>
        <w:spacing w:after="20" w:line="312" w:lineRule="auto"/>
      </w:pPr>
      <w:r>
        <w:rPr>
          <w:rFonts w:ascii="Times New Roman" w:hAnsi="Times New Roman" w:eastAsia="Noto Sans CJK SC"/>
          <w:sz w:val="20"/>
        </w:rPr>
        <w:t>Reduced Temporal Features：仅使用 mean/std 等简单统计，验证完整 AeroTS descriptors 的贡献。</w:t>
      </w:r>
    </w:p>
    <w:p>
      <w:pPr>
        <w:pStyle w:val="ListBullet"/>
        <w:spacing w:after="20" w:line="312" w:lineRule="auto"/>
      </w:pPr>
      <w:r>
        <w:rPr>
          <w:rFonts w:ascii="Times New Roman" w:hAnsi="Times New Roman" w:eastAsia="Noto Sans CJK SC"/>
          <w:sz w:val="20"/>
        </w:rPr>
        <w:t>No Explanation Aggregation：仅使用 feature-level SHAP，与层次聚合解释比较可读性与 Consistency@K。</w:t>
      </w:r>
    </w:p>
    <w:p>
      <w:pPr>
        <w:spacing w:line="312" w:lineRule="auto" w:after="60"/>
        <w:ind w:firstLine="420"/>
      </w:pPr>
      <w:r>
        <w:rPr>
          <w:rFonts w:ascii="Times New Roman" w:hAnsi="Times New Roman" w:eastAsia="Noto Sans CJK SC"/>
          <w:sz w:val="20"/>
        </w:rPr>
        <w:t>建议对 Macro-F1、AUPRC 等主要指标进行多随机种子或重复划分，并报告均值±标准差；如比较多个模型，可补充 Wilcoxon signed-rank test 或 bootstrap confidence interval。若数据集原始推荐划分固定，则以重复训练 seed 为主，不人为破坏 flight-level 隔离。</w:t>
      </w:r>
    </w:p>
    <w:p>
      <w:pPr>
        <w:pStyle w:val="Heading2"/>
      </w:pPr>
      <w:r>
        <w:t>5.3 路线 C 新增实验与验收</w:t>
      </w:r>
    </w:p>
    <w:p>
      <w:pPr>
        <w:pStyle w:val="ListBullet"/>
      </w:pPr>
      <w:r>
        <w:t>E7 软件模块映射：统计固件版本覆盖、topic 映射率、模块数量和未解析接口；贡献传播前后必须满足数值守恒。</w:t>
      </w:r>
    </w:p>
    <w:p>
      <w:pPr>
        <w:pStyle w:val="ListBullet"/>
      </w:pPr>
      <w:r>
        <w:t>E8 SITL 软件故障定位：至少覆盖 4 个 PX4 软件模块和 4–6 类 mutation；以 Module Top-1/3/5 Recall、MRR、MAP、EXAM 和定位延迟为主指标。</w:t>
      </w:r>
    </w:p>
    <w:p>
      <w:pPr>
        <w:pStyle w:val="ListBullet"/>
      </w:pPr>
      <w:r>
        <w:t>E9 低成本补实验：将 direct five-class LightGBM 补齐五种子，并在 purged chronological 与 leave-log-out 下同时评估 Stage 1、Stage 2、cascade、direct five-class 及模块/子系统解释一致性。</w:t>
      </w:r>
    </w:p>
    <w:p>
      <w:pPr/>
      <w:r>
        <w:t>统计要求：按 flight log 或 SITL run 做 paired bootstrap 95% CI；模型随机种子标准差只描述训练波动，不替代跨航次不确定性。</w:t>
      </w:r>
    </w:p>
    <w:p>
      <w:pPr>
        <w:pStyle w:val="Heading1"/>
        <w:keepNext/>
        <w:spacing w:before="140" w:after="60"/>
      </w:pPr>
      <w:r>
        <w:rPr>
          <w:rFonts w:ascii="Arial" w:hAnsi="Arial" w:eastAsia="Noto Sans CJK SC"/>
          <w:b/>
          <w:color w:val="1F4E79"/>
          <w:sz w:val="26"/>
        </w:rPr>
        <w:t>6. 创新点与预期贡献</w:t>
      </w:r>
    </w:p>
    <w:p>
      <w:pPr>
        <w:pStyle w:val="ListNumber"/>
        <w:spacing w:after="20" w:line="312" w:lineRule="auto"/>
      </w:pPr>
      <w:r>
        <w:rPr>
          <w:rFonts w:ascii="Times New Roman" w:hAnsi="Times New Roman" w:eastAsia="Noto Sans CJK SC"/>
          <w:sz w:val="20"/>
        </w:rPr>
        <w:t>从异常检测扩展到层次化子系统诊断：在同一真实 UAV telemetry 框架中同时回答“是否异常”和“哪类子系统异常”，避免研究停留在单一二分类。</w:t>
      </w:r>
    </w:p>
    <w:p>
      <w:pPr>
        <w:pStyle w:val="ListNumber"/>
        <w:spacing w:after="20" w:line="312" w:lineRule="auto"/>
      </w:pPr>
      <w:r>
        <w:rPr>
          <w:rFonts w:ascii="Times New Roman" w:hAnsi="Times New Roman" w:eastAsia="Noto Sans CJK SC"/>
          <w:sz w:val="20"/>
        </w:rPr>
        <w:t>提出 subsystem-aware 层次解释：将模型贡献从统计特征聚合到 telemetry channel、PX4 topic 和 subsystem，并通过 Feature Masking 与 Consistency@K 进行定量验证。</w:t>
      </w:r>
    </w:p>
    <w:p>
      <w:pPr>
        <w:pStyle w:val="ListNumber"/>
        <w:spacing w:after="20" w:line="312" w:lineRule="auto"/>
      </w:pPr>
      <w:r>
        <w:t>构建真实飞行与受控软件故障互补的评测流程：UAV-SEAD 验证真实运行异常与故障域，PX4 SITL 提供软件模块真值，chronological/purged/leave-log-out 与 run-level 隔离共同控制泄漏。</w:t>
      </w:r>
    </w:p>
    <w:p>
      <w:pPr>
        <w:pStyle w:val="ListNumber"/>
      </w:pPr>
      <w:r>
        <w:t>提出软件架构感知的证据传播方法：利用 ULog 固件提交和 uORB 发布/订阅关系，将 topic 证据转换为 PX4 软件模块可疑度，并以已知注入模块进行排名验证。</w:t>
      </w:r>
    </w:p>
    <w:p>
      <w:pPr>
        <w:spacing w:line="312" w:lineRule="auto" w:after="60"/>
        <w:ind w:firstLine="420"/>
      </w:pPr>
      <w:r>
        <w:rPr>
          <w:rFonts w:ascii="Times New Roman" w:hAnsi="Times New Roman" w:eastAsia="Noto Sans CJK SC"/>
          <w:sz w:val="20"/>
        </w:rPr>
        <w:t>预期论文贡献应强调“诊断能力与工程解释性”，而不是声称提出新的 LightGBM。若最终模型性能仅与 AeroTSBoost 持平，只要子系统 Macro-F1、解释一致性和外部验证表现稳定，论文故事仍然成立。</w:t>
      </w:r>
    </w:p>
    <w:p>
      <w:pPr>
        <w:pStyle w:val="Heading1"/>
        <w:keepNext/>
        <w:spacing w:before="140" w:after="60"/>
      </w:pPr>
      <w:r>
        <w:rPr>
          <w:rFonts w:ascii="Arial" w:hAnsi="Arial" w:eastAsia="Noto Sans CJK SC"/>
          <w:b/>
          <w:color w:val="1F4E79"/>
          <w:sz w:val="26"/>
        </w:rPr>
        <w:t>7. 实施路线与研究进度</w:t>
      </w:r>
    </w:p>
    <w:p>
      <w:pPr>
        <w:spacing w:line="312" w:lineRule="auto" w:after="60"/>
        <w:ind w:firstLine="420"/>
      </w:pPr>
      <w:r>
        <w:t>路线 C 将 P1–P7 视为已冻结研究基础，新增 P8–P10 构成面向 Drones 的软件故障定位闭环。执行顺序为：先完成固件溯源与模块映射，再搭建 SITL mutation 基准，最后补齐五种子和严格划分端到端实验。</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cantSplit/>
          <w:cantSplit/>
          <w:tblHeader w:val="true"/>
        </w:trPr>
        <w:tc>
          <w:tcPr>
            <w:tcW w:type="dxa" w:w="680"/>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阶段</w:t>
            </w:r>
          </w:p>
        </w:tc>
        <w:tc>
          <w:tcPr>
            <w:tcW w:type="dxa" w:w="2835"/>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任务</w:t>
            </w:r>
          </w:p>
        </w:tc>
        <w:tc>
          <w:tcPr>
            <w:tcW w:type="dxa" w:w="2268"/>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主要产出</w:t>
            </w:r>
          </w:p>
        </w:tc>
        <w:tc>
          <w:tcPr>
            <w:tcW w:type="dxa" w:w="1020"/>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优先级</w:t>
            </w:r>
          </w:p>
        </w:tc>
        <w:tc>
          <w:tcPr>
            <w:tcW w:type="dxa" w:w="2608"/>
            <w:vAlign w:val="center"/>
            <w:tcMar>
              <w:top w:w="70" w:type="dxa"/>
              <w:start w:w="80" w:type="dxa"/>
              <w:bottom w:w="70" w:type="dxa"/>
              <w:end w:w="80" w:type="dxa"/>
            </w:tcMar>
            <w:shd w:fill="D9EAF7"/>
          </w:tcPr>
          <w:p>
            <w:pPr>
              <w:spacing w:after="0" w:line="252" w:lineRule="auto"/>
              <w:jc w:val="center"/>
            </w:pPr>
            <w:r>
              <w:rPr>
                <w:rFonts w:ascii="Times New Roman" w:hAnsi="Times New Roman" w:eastAsia="Noto Sans CJK SC"/>
                <w:b/>
                <w:sz w:val="16"/>
              </w:rPr>
              <w:t>完成判据</w:t>
            </w:r>
          </w:p>
        </w:tc>
      </w:tr>
      <w:tr>
        <w:trPr>
          <w:cantSplit/>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P1</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UAV-SEAD 下载与数据检查；跑通 ULog/CSV 工具</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数据字典、可用日志清单</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必须</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能够读取标签与 87 类核心通道</w:t>
            </w:r>
          </w:p>
        </w:tc>
      </w:tr>
      <w:tr>
        <w:trPr>
          <w:cantSplit/>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P2</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复现 AeroTSBoost</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可重复 baseline 表格</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必须</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主要指标趋势与论文一致</w:t>
            </w:r>
          </w:p>
        </w:tc>
      </w:tr>
      <w:tr>
        <w:trPr>
          <w:cantSplit/>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P3</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实现四类子系统标签与 Stage 2</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子系统分类结果</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必须</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Macro-F1 明显优于随机/多数类</w:t>
            </w:r>
          </w:p>
        </w:tc>
      </w:tr>
      <w:tr>
        <w:trPr>
          <w:cantSplit/>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P4</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实现 SHAP 层次聚合与定量解释</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案例图 + Masking/Consistency 指标</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必须</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解释能稳定指向对应信号组</w:t>
            </w:r>
          </w:p>
        </w:tc>
      </w:tr>
      <w:tr>
        <w:trPr>
          <w:cantSplit/>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P5</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补 CATCH/GCAD/传统 baseline</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完整对比表</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增强</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统一协议下完成对比</w:t>
            </w:r>
          </w:p>
        </w:tc>
      </w:tr>
      <w:tr>
        <w:trPr>
          <w:cantSplit/>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P6</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ALFA 外部验证</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跨平台实验</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增强</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得到可报告的外部测试结果</w:t>
            </w:r>
          </w:p>
        </w:tc>
      </w:tr>
      <w:tr>
        <w:trPr>
          <w:cantSplit/>
          <w:cantSplit/>
        </w:trPr>
        <w:tc>
          <w:tcPr>
            <w:tcW w:type="dxa" w:w="68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P7</w:t>
            </w:r>
          </w:p>
        </w:tc>
        <w:tc>
          <w:tcPr>
            <w:tcW w:type="dxa" w:w="2835"/>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Unknown Fault / Uncategorized</w:t>
            </w:r>
          </w:p>
        </w:tc>
        <w:tc>
          <w:tcPr>
            <w:tcW w:type="dxa" w:w="226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开放集附加实验</w:t>
            </w:r>
          </w:p>
        </w:tc>
        <w:tc>
          <w:tcPr>
            <w:tcW w:type="dxa" w:w="1020"/>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可选</w:t>
            </w:r>
          </w:p>
        </w:tc>
        <w:tc>
          <w:tcPr>
            <w:tcW w:type="dxa" w:w="2608"/>
            <w:vAlign w:val="center"/>
            <w:tcMar>
              <w:top w:w="70" w:type="dxa"/>
              <w:start w:w="80" w:type="dxa"/>
              <w:bottom w:w="70" w:type="dxa"/>
              <w:end w:w="80" w:type="dxa"/>
            </w:tcMar>
          </w:tcPr>
          <w:p>
            <w:pPr>
              <w:spacing w:after="0" w:line="252" w:lineRule="auto"/>
              <w:jc w:val="left"/>
            </w:pPr>
            <w:r>
              <w:rPr>
                <w:rFonts w:ascii="Times New Roman" w:hAnsi="Times New Roman" w:eastAsia="Noto Sans CJK SC"/>
                <w:b w:val="0"/>
                <w:sz w:val="16"/>
              </w:rPr>
              <w:t>不影响主线时再开展</w:t>
            </w:r>
          </w:p>
        </w:tc>
      </w:tr>
      <w:tr>
        <w:trPr>
          <w:cantSplit/>
        </w:trPr>
        <w:tc>
          <w:tcPr>
            <w:tcW w:type="dxa" w:w="1972"/>
          </w:tcPr>
          <w:p>
            <w:r>
              <w:t>P8</w:t>
            </w:r>
          </w:p>
        </w:tc>
        <w:tc>
          <w:tcPr>
            <w:tcW w:type="dxa" w:w="1972"/>
          </w:tcPr>
          <w:p>
            <w:r>
              <w:t>固件溯源与 uORB topic→module 映射</w:t>
            </w:r>
          </w:p>
        </w:tc>
        <w:tc>
          <w:tcPr>
            <w:tcW w:type="dxa" w:w="1972"/>
          </w:tcPr>
          <w:p>
            <w:r>
              <w:t>版本清单、软件架构图、模块可疑度</w:t>
            </w:r>
          </w:p>
        </w:tc>
        <w:tc>
          <w:tcPr>
            <w:tcW w:type="dxa" w:w="1972"/>
          </w:tcPr>
          <w:p>
            <w:r>
              <w:t>必须</w:t>
            </w:r>
          </w:p>
        </w:tc>
        <w:tc>
          <w:tcPr>
            <w:tcW w:type="dxa" w:w="1972"/>
          </w:tcPr>
          <w:p>
            <w:r>
              <w:t>映射覆盖可审计且贡献守恒</w:t>
            </w:r>
          </w:p>
        </w:tc>
      </w:tr>
      <w:tr>
        <w:trPr>
          <w:cantSplit/>
        </w:trPr>
        <w:tc>
          <w:tcPr>
            <w:tcW w:type="dxa" w:w="1972"/>
          </w:tcPr>
          <w:p>
            <w:r>
              <w:t>P9</w:t>
            </w:r>
          </w:p>
        </w:tc>
        <w:tc>
          <w:tcPr>
            <w:tcW w:type="dxa" w:w="1972"/>
          </w:tcPr>
          <w:p>
            <w:r>
              <w:t>小型 PX4 SITL 软件故障注入</w:t>
            </w:r>
          </w:p>
        </w:tc>
        <w:tc>
          <w:tcPr>
            <w:tcW w:type="dxa" w:w="1972"/>
          </w:tcPr>
          <w:p>
            <w:r>
              <w:t>mutation 清单、运行日志、模块定位结果</w:t>
            </w:r>
          </w:p>
        </w:tc>
        <w:tc>
          <w:tcPr>
            <w:tcW w:type="dxa" w:w="1972"/>
          </w:tcPr>
          <w:p>
            <w:r>
              <w:t>必须</w:t>
            </w:r>
          </w:p>
        </w:tc>
        <w:tc>
          <w:tcPr>
            <w:tcW w:type="dxa" w:w="1972"/>
          </w:tcPr>
          <w:p>
            <w:r>
              <w:t>≥4 模块、≥4 类故障并报告 Top-k/MRR</w:t>
            </w:r>
          </w:p>
        </w:tc>
      </w:tr>
      <w:tr>
        <w:trPr>
          <w:cantSplit/>
        </w:trPr>
        <w:tc>
          <w:tcPr>
            <w:tcW w:type="dxa" w:w="1972"/>
          </w:tcPr>
          <w:p>
            <w:r>
              <w:t>P10</w:t>
            </w:r>
          </w:p>
        </w:tc>
        <w:tc>
          <w:tcPr>
            <w:tcW w:type="dxa" w:w="1972"/>
          </w:tcPr>
          <w:p>
            <w:r>
              <w:t>五种子与严格划分端到端补实验</w:t>
            </w:r>
          </w:p>
        </w:tc>
        <w:tc>
          <w:tcPr>
            <w:tcW w:type="dxa" w:w="1972"/>
          </w:tcPr>
          <w:p>
            <w:r>
              <w:t>公平对照、purged/LLO、bootstrap CI</w:t>
            </w:r>
          </w:p>
        </w:tc>
        <w:tc>
          <w:tcPr>
            <w:tcW w:type="dxa" w:w="1972"/>
          </w:tcPr>
          <w:p>
            <w:r>
              <w:t>必须</w:t>
            </w:r>
          </w:p>
        </w:tc>
        <w:tc>
          <w:tcPr>
            <w:tcW w:type="dxa" w:w="1972"/>
          </w:tcPr>
          <w:p>
            <w:r>
              <w:t>cascade 优势与泛化结论可复核</w:t>
            </w:r>
          </w:p>
        </w:tc>
      </w:tr>
    </w:tbl>
    <w:p>
      <w:pPr>
        <w:spacing w:line="312" w:lineRule="auto" w:after="60"/>
        <w:ind w:firstLine="420"/>
      </w:pPr>
      <w:r>
        <w:t>路线 C 的投稿版本固定为：真实 UAV-SEAD 层次诊断 + 分层 SHAP 解释 + PX4 固件感知 topic→module 映射 + 小型 SITL 软件故障注入 + direct five-class 五种子 + 严格划分端到端评估。P5–P7 作为增强与限制分析保留，不再扩展为新的主线。</w:t>
      </w:r>
    </w:p>
    <w:p>
      <w:pPr>
        <w:pStyle w:val="Heading1"/>
        <w:keepNext/>
        <w:spacing w:before="140" w:after="60"/>
      </w:pPr>
      <w:r>
        <w:rPr>
          <w:rFonts w:ascii="Arial" w:hAnsi="Arial" w:eastAsia="Noto Sans CJK SC"/>
          <w:b/>
          <w:color w:val="1F4E79"/>
          <w:sz w:val="26"/>
        </w:rPr>
        <w:t>8. 风险控制与论文表述边界</w:t>
      </w:r>
    </w:p>
    <w:p>
      <w:pPr>
        <w:pStyle w:val="ListBullet"/>
        <w:spacing w:after="20" w:line="312" w:lineRule="auto"/>
      </w:pPr>
      <w:r>
        <w:rPr>
          <w:rFonts w:ascii="Times New Roman" w:hAnsi="Times New Roman" w:eastAsia="Noto Sans CJK SC"/>
          <w:sz w:val="20"/>
        </w:rPr>
        <w:t>不要将 UAV-SEAD 四类异常直接称为 PX4 源代码软件 bug；统一使用 “runtime anomaly / subsystem-level diagnosis / state-estimation-related anomaly”。</w:t>
      </w:r>
    </w:p>
    <w:p>
      <w:pPr>
        <w:pStyle w:val="ListBullet"/>
        <w:spacing w:after="20" w:line="312" w:lineRule="auto"/>
      </w:pPr>
      <w:r>
        <w:rPr>
          <w:rFonts w:ascii="Times New Roman" w:hAnsi="Times New Roman" w:eastAsia="Noto Sans CJK SC"/>
          <w:sz w:val="20"/>
        </w:rPr>
        <w:t>不要用随机 window-level split 作为主结果；必须保证相邻窗口和同一 flight log 的泄漏受到控制。</w:t>
      </w:r>
    </w:p>
    <w:p>
      <w:pPr>
        <w:pStyle w:val="ListBullet"/>
        <w:spacing w:after="20" w:line="312" w:lineRule="auto"/>
      </w:pPr>
      <w:r>
        <w:rPr>
          <w:rFonts w:ascii="Times New Roman" w:hAnsi="Times New Roman" w:eastAsia="Noto Sans CJK SC"/>
          <w:sz w:val="20"/>
        </w:rPr>
        <w:t>如果子系统分类出现严重类别不平衡，优先使用 class weight、balanced sampling 和 Macro-F1，而不是只汇报 Accuracy。</w:t>
      </w:r>
    </w:p>
    <w:p>
      <w:pPr>
        <w:pStyle w:val="ListBullet"/>
        <w:spacing w:after="20" w:line="312" w:lineRule="auto"/>
      </w:pPr>
      <w:r>
        <w:rPr>
          <w:rFonts w:ascii="Times New Roman" w:hAnsi="Times New Roman" w:eastAsia="Noto Sans CJK SC"/>
          <w:sz w:val="20"/>
        </w:rPr>
        <w:t>若新增模型没有显著超过 AeroTSBoost，不继续堆复杂网络；将贡献集中在层次诊断、解释定量化和真实飞行验证。</w:t>
      </w:r>
    </w:p>
    <w:p>
      <w:pPr>
        <w:pStyle w:val="ListBullet"/>
        <w:spacing w:after="20" w:line="312" w:lineRule="auto"/>
      </w:pPr>
      <w:r>
        <w:rPr>
          <w:rFonts w:ascii="Times New Roman" w:hAnsi="Times New Roman" w:eastAsia="Noto Sans CJK SC"/>
          <w:sz w:val="20"/>
        </w:rPr>
        <w:t>投稿前再次核验 2025–2026 预印本的最终发表状态、代码地址和版本，参考文献中区分正式会议/期刊与 arXiv。</w:t>
      </w:r>
    </w:p>
    <w:p>
      <w:pPr>
        <w:pStyle w:val="ListBullet"/>
      </w:pPr>
      <w:r>
        <w:t>真实飞行结果只能表述为 runtime failure-domain localization 或 software-subsystem suspects；只有 SITL 已知注入结果可以使用 software-module fault localization。</w:t>
      </w:r>
    </w:p>
    <w:p>
      <w:pPr>
        <w:pStyle w:val="ListBullet"/>
      </w:pPr>
      <w:r>
        <w:t>topic→module 关系表示运行时软件依赖和证据传播路径，不自动等价于根因；正文必须区分症状模块、依赖模块与实际注入模块。</w:t>
      </w:r>
    </w:p>
    <w:p>
      <w:pPr>
        <w:pStyle w:val="ListBullet"/>
      </w:pPr>
      <w:r>
        <w:t>所有 mutation 必须可逆、独立存档并记录基准 commit；SITL run 必须按运行实例隔离，禁止同一任务轨迹的窗口随机拆分。</w:t>
      </w:r>
    </w:p>
    <w:p>
      <w:pPr>
        <w:pStyle w:val="Heading1"/>
        <w:keepNext/>
        <w:spacing w:before="140" w:after="60"/>
      </w:pPr>
      <w:r>
        <w:rPr>
          <w:rFonts w:ascii="Arial" w:hAnsi="Arial" w:eastAsia="Noto Sans CJK SC"/>
          <w:b/>
          <w:color w:val="1F4E79"/>
          <w:sz w:val="26"/>
        </w:rPr>
        <w:t>参考文献与开源资源（研究阶段工作清单）</w:t>
      </w:r>
    </w:p>
    <w:p>
      <w:pPr>
        <w:spacing w:after="20" w:line="252" w:lineRule="auto"/>
        <w:ind w:left="227"/>
      </w:pPr>
      <w:r>
        <w:rPr>
          <w:rFonts w:ascii="Times New Roman" w:hAnsi="Times New Roman" w:eastAsia="Noto Sans CJK SC"/>
          <w:sz w:val="16"/>
        </w:rPr>
        <w:t>[1] AeroTSBoost: Temporal-Statistical Boosting for Real-World UAV Telemetry Anomaly Mining. 2026.（预印本/代码与最终发表状态投稿前复核）</w:t>
      </w:r>
    </w:p>
    <w:p>
      <w:pPr>
        <w:spacing w:after="20" w:line="252" w:lineRule="auto"/>
        <w:ind w:left="227"/>
      </w:pPr>
      <w:r>
        <w:rPr>
          <w:rFonts w:ascii="Times New Roman" w:hAnsi="Times New Roman" w:eastAsia="Noto Sans CJK SC"/>
          <w:sz w:val="16"/>
        </w:rPr>
        <w:t>[2] UAV-SEAD: State Estimation Anomaly Dataset for UAVs. 2026. 数据集与标注工具公开。</w:t>
      </w:r>
    </w:p>
    <w:p>
      <w:pPr>
        <w:spacing w:after="20" w:line="252" w:lineRule="auto"/>
        <w:ind w:left="227"/>
      </w:pPr>
      <w:r>
        <w:rPr>
          <w:rFonts w:ascii="Times New Roman" w:hAnsi="Times New Roman" w:eastAsia="Noto Sans CJK SC"/>
          <w:sz w:val="16"/>
        </w:rPr>
        <w:t>[3] CATCH: Channel-Aware Multivariate Time Series Anomaly Detection via Frequency Patching. ICLR 2025.</w:t>
      </w:r>
    </w:p>
    <w:p>
      <w:pPr>
        <w:spacing w:after="20" w:line="252" w:lineRule="auto"/>
        <w:ind w:left="227"/>
      </w:pPr>
      <w:r>
        <w:rPr>
          <w:rFonts w:ascii="Times New Roman" w:hAnsi="Times New Roman" w:eastAsia="Noto Sans CJK SC"/>
          <w:sz w:val="16"/>
        </w:rPr>
        <w:t>[4] GCAD: Anomaly Detection in Multivariate Time Series from the Perspective of Granger Causality. AAAI 2025.</w:t>
      </w:r>
    </w:p>
    <w:p>
      <w:pPr>
        <w:spacing w:after="20" w:line="252" w:lineRule="auto"/>
        <w:ind w:left="227"/>
      </w:pPr>
      <w:r>
        <w:rPr>
          <w:rFonts w:ascii="Times New Roman" w:hAnsi="Times New Roman" w:eastAsia="Noto Sans CJK SC"/>
          <w:sz w:val="16"/>
        </w:rPr>
        <w:t>[5] xLSTMAD: A Powerful xLSTM-Based Method for Anomaly Detection. 2025.（发表状态投稿前复核）</w:t>
      </w:r>
    </w:p>
    <w:p>
      <w:pPr>
        <w:spacing w:after="20" w:line="252" w:lineRule="auto"/>
        <w:ind w:left="227"/>
      </w:pPr>
      <w:r>
        <w:rPr>
          <w:rFonts w:ascii="Times New Roman" w:hAnsi="Times New Roman" w:eastAsia="Noto Sans CJK SC"/>
          <w:sz w:val="16"/>
        </w:rPr>
        <w:t>[6] Runtime Anomaly Detection for Drones: An Integrated Rule-Mining and Unsupervised-Learning Approach. ICECCS 2025.</w:t>
      </w:r>
    </w:p>
    <w:p>
      <w:pPr>
        <w:spacing w:after="20" w:line="252" w:lineRule="auto"/>
        <w:ind w:left="227"/>
      </w:pPr>
      <w:r>
        <w:rPr>
          <w:rFonts w:ascii="Times New Roman" w:hAnsi="Times New Roman" w:eastAsia="Noto Sans CJK SC"/>
          <w:sz w:val="16"/>
        </w:rPr>
        <w:t>[7] Interpretable Attention-Based Prototype Network for UAV Fault Diagnosis under Small Sample Conditions. Reliability Engineering &amp; System Safety, 2026.</w:t>
      </w:r>
    </w:p>
    <w:p>
      <w:pPr>
        <w:spacing w:after="20" w:line="252" w:lineRule="auto"/>
        <w:ind w:left="227"/>
      </w:pPr>
      <w:r>
        <w:rPr>
          <w:rFonts w:ascii="Times New Roman" w:hAnsi="Times New Roman" w:eastAsia="Noto Sans CJK SC"/>
          <w:sz w:val="16"/>
        </w:rPr>
        <w:t>[8] ALFA Dataset: real fixed-wing UAV fault data and open analysis tools.</w:t>
      </w:r>
    </w:p>
    <w:p>
      <w:pPr>
        <w:spacing w:after="20" w:line="252" w:lineRule="auto"/>
        <w:ind w:left="227"/>
      </w:pPr>
      <w:r>
        <w:rPr>
          <w:rFonts w:ascii="Times New Roman" w:hAnsi="Times New Roman" w:eastAsia="Noto Sans CJK SC"/>
          <w:sz w:val="16"/>
        </w:rPr>
        <w:t>[9] ulog_annotation_tool: PX4 ULog conversion, synchronization, visualization and anomaly annotation utility.</w:t>
      </w:r>
    </w:p>
    <w:p>
      <w:pPr/>
      <w:r>
        <w:t>[10] PX4-Autopilot: open-source autopilot software and uORB middleware documentation/source code.</w:t>
      </w:r>
    </w:p>
    <w:p>
      <w:pPr/>
      <w:r>
        <w:t>[11] Spectrum-Based Software Fault Localization surveys: definitions, suspicious program entities and Top-k/EXAM-style evaluation.</w:t>
      </w:r>
    </w:p>
    <w:p>
      <w:pPr/>
      <w:r>
        <w:t>[12] Research on Drone Fault Detection Based on Failure Mode Databases. Drones, 2023, 7(8), 486.</w:t>
      </w:r>
    </w:p>
    <w:p>
      <w:pPr/>
      <w:r>
        <w:t>[13] Event-Triggered Collaborative Fault Diagnosis for UAV–UGV Systems. Drones, 2024, 8(7), 324.</w:t>
      </w:r>
    </w:p>
    <w:sectPr w:rsidR="00FC693F" w:rsidRPr="0006063C" w:rsidSect="00034616">
      <w:headerReference w:type="default" r:id="rId9"/>
      <w:footerReference w:type="default" r:id="rId10"/>
      <w:pgSz w:w="12240" w:h="15840"/>
      <w:pgMar w:top="850" w:right="1134" w:bottom="85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ans CJK SC"/>
        <w:sz w:val="18"/>
      </w:rPr>
      <w:t xml:space="preserve">第 </w:t>
      <w:fldChar w:fldCharType="begin"/>
      <w:instrText xml:space="preserve">PAGE</w:instrText>
      <w:fldChar w:fldCharType="end"/>
    </w:r>
    <w:r>
      <w:rPr>
        <w:rFonts w:ascii="Times New Roman" w:hAnsi="Times New Roman" w:eastAsia="Noto Sans CJK S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研究方案 | UAV 遥测驱动的运行时软件故障定位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Noto Sans CJK SC"/>
      <w:sz w:val="20"/>
    </w:rPr>
  </w:style>
  <w:style w:type="paragraph" w:styleId="ListBullet2">
    <w:name w:val="List Bullet 2"/>
    <w:basedOn w:val="Normal"/>
    <w:uiPriority w:val="99"/>
    <w:unhideWhenUsed/>
    <w:rsid w:val="00326F90"/>
    <w:pPr>
      <w:numPr>
        <w:numId w:val="2"/>
      </w:numPr>
      <w:contextualSpacing/>
    </w:pPr>
    <w:rPr>
      <w:rFonts w:ascii="Times New Roman" w:hAnsi="Times New Roman" w:eastAsia="Noto Sans CJK S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Noto Sans CJK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Times New Roman" w:hAnsi="Times New Roman" w:eastAsia="Noto Sans CJK S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面向真实无人机遥测的可解释层次化运行时软件故障定位与子系统诊断</dc:title>
  <dc:subject>路线 C：PX4 模块映射、SITL 软件故障注入与严格端到端验证</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