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eastAsia="Noto Sans CJK SC"/>
          <w:b/>
          <w:color w:val="1F4E79"/>
          <w:sz w:val="33"/>
        </w:rPr>
        <w:t>面向真实无人机遥测的可解释层次化异常检测与子系统诊断</w:t>
      </w:r>
    </w:p>
    <w:p>
      <w:pPr>
        <w:spacing w:after="100"/>
        <w:jc w:val="center"/>
      </w:pPr>
      <w:r>
        <w:rPr>
          <w:rFonts w:ascii="Times New Roman" w:hAnsi="Times New Roman" w:eastAsia="Noto Sans CJK SC"/>
          <w:b/>
          <w:color w:val="505050"/>
          <w:sz w:val="22"/>
        </w:rPr>
        <w:t>研究方案（面向 MDPI Drones 投稿）</w:t>
      </w:r>
    </w:p>
    <w:tbl>
      <w:tblPr>
        <w:tblStyle w:val="TableGrid"/>
        <w:tblW w:type="auto" w:w="0"/>
        <w:jc w:val="center"/>
        <w:tblLook w:firstColumn="1" w:firstRow="1" w:lastColumn="0" w:lastRow="0" w:noHBand="0" w:noVBand="1" w:val="04A0"/>
      </w:tblPr>
      <w:tblGrid>
        <w:gridCol w:w="4929"/>
        <w:gridCol w:w="4929"/>
      </w:tblGrid>
      <w:tr>
        <w:trPr>
          <w:cantSplit/>
        </w:trPr>
        <w:tc>
          <w:tcPr>
            <w:tcW w:type="dxa" w:w="1814"/>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拟定方法名</w:t>
            </w:r>
          </w:p>
        </w:tc>
        <w:tc>
          <w:tcPr>
            <w:tcW w:type="dxa" w:w="7200"/>
            <w:vAlign w:val="center"/>
            <w:tcMar>
              <w:top w:w="70" w:type="dxa"/>
              <w:start w:w="80" w:type="dxa"/>
              <w:bottom w:w="70" w:type="dxa"/>
              <w:end w:w="80" w:type="dxa"/>
            </w:tcMar>
            <w:shd w:fill="EAF2F8"/>
          </w:tcPr>
          <w:p>
            <w:pPr>
              <w:spacing w:after="0" w:line="252" w:lineRule="auto"/>
              <w:jc w:val="center"/>
            </w:pPr>
            <w:r>
              <w:rPr>
                <w:rFonts w:ascii="Times New Roman" w:hAnsi="Times New Roman" w:eastAsia="Noto Sans CJK SC"/>
                <w:b/>
                <w:sz w:val="16"/>
              </w:rPr>
              <w:t>HS-AeroTS（Hierarchical Subsystem-Aware AeroTSBoost）</w:t>
            </w:r>
          </w:p>
        </w:tc>
      </w:tr>
      <w:tr>
        <w:trPr>
          <w:cantSplit/>
        </w:trPr>
        <w:tc>
          <w:tcPr>
            <w:tcW w:type="dxa" w:w="1814"/>
            <w:vAlign w:val="center"/>
            <w:tcMar>
              <w:top w:w="70" w:type="dxa"/>
              <w:start w:w="80" w:type="dxa"/>
              <w:bottom w:w="70" w:type="dxa"/>
              <w:end w:w="80" w:type="dxa"/>
            </w:tcMar>
            <w:shd w:fill="D9EAF7"/>
          </w:tcPr>
          <w:p>
            <w:pPr>
              <w:spacing w:after="0" w:line="252" w:lineRule="auto"/>
              <w:jc w:val="left"/>
            </w:pPr>
            <w:r>
              <w:rPr>
                <w:rFonts w:ascii="Times New Roman" w:hAnsi="Times New Roman" w:eastAsia="Noto Sans CJK SC"/>
                <w:b/>
                <w:sz w:val="16"/>
              </w:rPr>
              <w:t>研究定位</w:t>
            </w:r>
          </w:p>
        </w:tc>
        <w:tc>
          <w:tcPr>
            <w:tcW w:type="dxa" w:w="720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真实飞行遥测上的异常检测 + 子系统级诊断 + 可解释证据</w:t>
            </w:r>
          </w:p>
        </w:tc>
      </w:tr>
      <w:tr>
        <w:trPr>
          <w:cantSplit/>
        </w:trPr>
        <w:tc>
          <w:tcPr>
            <w:tcW w:type="dxa" w:w="1814"/>
            <w:vAlign w:val="center"/>
            <w:tcMar>
              <w:top w:w="70" w:type="dxa"/>
              <w:start w:w="80" w:type="dxa"/>
              <w:bottom w:w="70" w:type="dxa"/>
              <w:end w:w="80" w:type="dxa"/>
            </w:tcMar>
            <w:shd w:fill="D9EAF7"/>
          </w:tcPr>
          <w:p>
            <w:pPr>
              <w:spacing w:after="0" w:line="252" w:lineRule="auto"/>
              <w:jc w:val="left"/>
            </w:pPr>
            <w:r>
              <w:rPr>
                <w:rFonts w:ascii="Times New Roman" w:hAnsi="Times New Roman" w:eastAsia="Noto Sans CJK SC"/>
                <w:b/>
                <w:sz w:val="16"/>
              </w:rPr>
              <w:t>核心资源</w:t>
            </w:r>
          </w:p>
        </w:tc>
        <w:tc>
          <w:tcPr>
            <w:tcW w:type="dxa" w:w="720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UAV-SEAD + AeroTSBoost + ulog_annotation_tool + ALFA</w:t>
            </w:r>
          </w:p>
        </w:tc>
      </w:tr>
    </w:tbl>
    <w:p>
      <w:pPr>
        <w:spacing w:after="0"/>
      </w:pPr>
    </w:p>
    <w:p>
      <w:pPr>
        <w:pStyle w:val="Heading1"/>
        <w:keepNext/>
        <w:spacing w:before="140" w:after="60"/>
      </w:pPr>
      <w:r>
        <w:rPr>
          <w:rFonts w:ascii="Arial" w:hAnsi="Arial" w:eastAsia="Noto Sans CJK SC"/>
          <w:b/>
          <w:color w:val="1F4E79"/>
          <w:sz w:val="26"/>
        </w:rPr>
        <w:t>1. 研究问题</w:t>
      </w:r>
    </w:p>
    <w:p>
      <w:pPr>
        <w:spacing w:line="312" w:lineRule="auto" w:after="60"/>
        <w:ind w:firstLine="420"/>
      </w:pPr>
      <w:r>
        <w:rPr>
          <w:rFonts w:ascii="Times New Roman" w:hAnsi="Times New Roman" w:eastAsia="Noto Sans CJK SC"/>
          <w:b/>
          <w:sz w:val="20"/>
        </w:rPr>
        <w:t>一句话概括：</w:t>
      </w:r>
      <w:r>
        <w:rPr>
          <w:rFonts w:ascii="Times New Roman" w:hAnsi="Times New Roman" w:eastAsia="Noto Sans CJK SC"/>
          <w:sz w:val="20"/>
        </w:rPr>
        <w:t>如何利用真实 PX4 多源飞行遥测，在准确检测无人机运行异常的基础上，进一步判断异常最可能来源于哪个状态估计/飞行子系统，并给出可解释的遥测证据？</w:t>
      </w:r>
    </w:p>
    <w:p>
      <w:pPr>
        <w:spacing w:line="312" w:lineRule="auto" w:after="60"/>
        <w:ind w:firstLine="420"/>
      </w:pPr>
      <w:r>
        <w:rPr>
          <w:rFonts w:ascii="Times New Roman" w:hAnsi="Times New Roman" w:eastAsia="Noto Sans CJK SC"/>
          <w:sz w:val="20"/>
        </w:rPr>
        <w:t>本研究不将任务表述为严格的“源代码级软件故障定位”，而定位为运行时异常检测与子系统级诊断。原因是当前最适合复现的公开数据 UAV-SEAD 提供的是状态估计异常及异常类别标注，而不是 PX4 文件、函数或代码行级的 bug ground truth。采用这一表述可以保证研究问题与数据真实能力一致，避免将传感器、定位或状态估计异常误称为软件源代码 bug。</w:t>
      </w:r>
    </w:p>
    <w:p>
      <w:pPr>
        <w:spacing w:line="312" w:lineRule="auto" w:after="60"/>
        <w:ind w:firstLine="420"/>
      </w:pPr>
      <w:r>
        <w:rPr>
          <w:rFonts w:ascii="Times New Roman" w:hAnsi="Times New Roman" w:eastAsia="Noto Sans CJK SC"/>
          <w:sz w:val="20"/>
        </w:rPr>
        <w:t>目标输出由传统的 Normal/Anomaly 二分类扩展为三级结果：第一层判断是否异常；第二层对异常窗口诊断为 Mechanical &amp; Electrical、External Position、Global Position 或 Altitude；第三层通过 SHAP 与遥测分组给出“哪些信号、哪些 PX4 topic、哪个子系统支持该诊断”的证据链。</w:t>
      </w:r>
    </w:p>
    <w:p>
      <w:pPr>
        <w:pStyle w:val="Heading1"/>
        <w:keepNext/>
        <w:spacing w:before="140" w:after="60"/>
      </w:pPr>
      <w:r>
        <w:rPr>
          <w:rFonts w:ascii="Arial" w:hAnsi="Arial" w:eastAsia="Noto Sans CJK SC"/>
          <w:b/>
          <w:color w:val="1F4E79"/>
          <w:sz w:val="26"/>
        </w:rPr>
        <w:t>2. 现有方法与研究缺口</w:t>
      </w:r>
    </w:p>
    <w:p>
      <w:pPr>
        <w:pStyle w:val="Heading2"/>
        <w:keepNext/>
        <w:spacing w:before="100" w:after="60"/>
      </w:pPr>
      <w:r>
        <w:rPr>
          <w:rFonts w:ascii="Arial" w:hAnsi="Arial" w:eastAsia="Noto Sans CJK SC"/>
          <w:b/>
          <w:color w:val="373737"/>
          <w:sz w:val="22"/>
        </w:rPr>
        <w:t>2.1 可复现研究基础</w:t>
      </w:r>
    </w:p>
    <w:p>
      <w:pPr>
        <w:spacing w:line="312" w:lineRule="auto" w:after="60"/>
        <w:ind w:firstLine="420"/>
      </w:pPr>
      <w:r>
        <w:rPr>
          <w:rFonts w:ascii="Times New Roman" w:hAnsi="Times New Roman" w:eastAsia="Noto Sans CJK SC"/>
          <w:sz w:val="20"/>
        </w:rPr>
        <w:t>UAV-SEAD 是本研究的主数据集。数据来自真实 PX4 多旋翼飞行日志，包含约 1396 条已分类日志、52 小时以上真实飞行，以及 Normal、Mechanical &amp; Electrical、External Position、Global Position、Altitude 等类别。数据覆盖 IMU、GPS、气压计、距离传感器、视觉里程计、光流、EKF 等多源遥测，适合研究多变量时序异常。</w:t>
      </w:r>
    </w:p>
    <w:p>
      <w:pPr>
        <w:spacing w:line="312" w:lineRule="auto" w:after="60"/>
        <w:ind w:firstLine="420"/>
      </w:pPr>
      <w:r>
        <w:rPr>
          <w:rFonts w:ascii="Times New Roman" w:hAnsi="Times New Roman" w:eastAsia="Noto Sans CJK SC"/>
          <w:sz w:val="20"/>
        </w:rPr>
        <w:t>AeroTSBoost（2026）是最直接的主 baseline。其核心是将 UAV-SEAD 的多源 telemetry 对齐到 10 Hz，通过滑动窗口和时间统计特征压缩序列，再使用类别平衡的 LightGBM 完成异常检测。该方法使用约 87 个 telemetry channels，并为每个通道计算多类统计/动态描述符，形成结构化窗口特征。其代码、实验配置和数据划分具有较高复现价值，因此本研究优先在该项目上扩展，而不是从零实现深度网络。</w:t>
      </w:r>
    </w:p>
    <w:p>
      <w:pPr>
        <w:spacing w:line="312" w:lineRule="auto" w:after="60"/>
        <w:ind w:firstLine="420"/>
      </w:pPr>
      <w:r>
        <w:rPr>
          <w:rFonts w:ascii="Times New Roman" w:hAnsi="Times New Roman" w:eastAsia="Noto Sans CJK SC"/>
          <w:sz w:val="20"/>
        </w:rPr>
        <w:t>同时使用 ulog_annotation_tool 完成 ULog 解析、CSV 转换、时间同步和标注检查；使用 ALFA 作为固定翼真实故障数据的外部验证集，只验证异常检测层的跨平台泛化，不强行将其故障标签映射为 UAV-SEAD 的四类子系统。</w:t>
      </w:r>
    </w:p>
    <w:p>
      <w:pPr>
        <w:pStyle w:val="Heading2"/>
        <w:keepNext/>
        <w:spacing w:before="100" w:after="60"/>
      </w:pPr>
      <w:r>
        <w:rPr>
          <w:rFonts w:ascii="Arial" w:hAnsi="Arial" w:eastAsia="Noto Sans CJK SC"/>
          <w:b/>
          <w:color w:val="373737"/>
          <w:sz w:val="22"/>
        </w:rPr>
        <w:t>2.2 研究缺口</w:t>
      </w:r>
    </w:p>
    <w:p>
      <w:pPr>
        <w:spacing w:line="312" w:lineRule="auto" w:after="60"/>
        <w:ind w:firstLine="420"/>
      </w:pPr>
      <w:r>
        <w:rPr>
          <w:rFonts w:ascii="Times New Roman" w:hAnsi="Times New Roman" w:eastAsia="Noto Sans CJK SC"/>
          <w:sz w:val="20"/>
        </w:rPr>
        <w:t>现有工作已经能够较好回答“这一段飞行是否异常”，但仍缺少面向真实复杂 telemetry 的统一诊断链条：异常被检测到之后，系统很少继续回答“更可能是哪个子系统出了问题，以及为什么”。AeroTSBoost 虽然包含 failure-family 与 feature importance 分析，但其核心目标仍然是二分类 anomaly detection；因此，可在其成熟检测主干上增加层次化子系统诊断和定量解释验证。</w:t>
      </w:r>
    </w:p>
    <w:p>
      <w:pPr>
        <w:spacing w:line="312" w:lineRule="auto" w:after="60"/>
        <w:ind w:firstLine="420"/>
      </w:pPr>
      <w:r>
        <w:rPr>
          <w:rFonts w:ascii="Times New Roman" w:hAnsi="Times New Roman" w:eastAsia="Noto Sans CJK SC"/>
          <w:sz w:val="20"/>
        </w:rPr>
        <w:t>本研究的创新重点不放在“提出一个更复杂的网络”，而放在诊断粒度与解释链条：Detection → Subsystem Diagnosis → Evidence。这样既降低实现难度，又与 Drones 偏工程验证、UAV 实际运行问题的稿件定位更匹配。</w:t>
      </w:r>
    </w:p>
    <w:p>
      <w:pPr>
        <w:pStyle w:val="Heading1"/>
        <w:keepNext/>
        <w:spacing w:before="140" w:after="60"/>
      </w:pPr>
      <w:r>
        <w:rPr>
          <w:rFonts w:ascii="Arial" w:hAnsi="Arial" w:eastAsia="Noto Sans CJK SC"/>
          <w:b/>
          <w:color w:val="1F4E79"/>
          <w:sz w:val="26"/>
        </w:rPr>
        <w:t>3. 核心研究思路</w:t>
      </w:r>
    </w:p>
    <w:p>
      <w:pPr>
        <w:spacing w:line="312" w:lineRule="auto" w:after="60"/>
        <w:ind w:firstLine="420"/>
      </w:pPr>
      <w:r>
        <w:rPr>
          <w:rFonts w:ascii="Times New Roman" w:hAnsi="Times New Roman" w:eastAsia="Noto Sans CJK SC"/>
          <w:sz w:val="20"/>
        </w:rPr>
        <w:t>提出 HS-AeroTS：在 AeroTSBoost 时间统计特征基础上构建两阶段层次化模型。Stage 1 保留异常检测器，输出 P(Anomaly|W)；Stage 2 仅对被判定为异常的窗口进行子系统诊断，输出四类异常概率；最后使用 TreeSHAP 将模型贡献从统计特征聚合到 telemetry channel、PX4 uORB topic 和 subsystem。</w:t>
      </w:r>
    </w:p>
    <w:tbl>
      <w:tblPr>
        <w:tblStyle w:val="TableGrid"/>
        <w:tblW w:type="auto" w:w="0"/>
        <w:jc w:val="center"/>
        <w:tblLook w:firstColumn="1" w:firstRow="1" w:lastColumn="0" w:lastRow="0" w:noHBand="0" w:noVBand="1" w:val="04A0"/>
      </w:tblPr>
      <w:tblGrid>
        <w:gridCol w:w="1408"/>
        <w:gridCol w:w="1408"/>
        <w:gridCol w:w="1408"/>
        <w:gridCol w:w="1408"/>
        <w:gridCol w:w="1408"/>
        <w:gridCol w:w="1408"/>
        <w:gridCol w:w="1408"/>
      </w:tblGrid>
      <w:tr>
        <w:trPr>
          <w:cantSplit/>
        </w:trPr>
        <w:tc>
          <w:tcPr>
            <w:tcW w:type="dxa" w:w="1134"/>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PX4 ULog</w:t>
            </w:r>
          </w:p>
        </w:tc>
        <w:tc>
          <w:tcPr>
            <w:tcW w:type="dxa" w:w="1417"/>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时间同步/滑窗</w:t>
            </w:r>
          </w:p>
        </w:tc>
        <w:tc>
          <w:tcPr>
            <w:tcW w:type="dxa" w:w="1247"/>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AeroTS特征</w:t>
            </w:r>
          </w:p>
        </w:tc>
        <w:tc>
          <w:tcPr>
            <w:tcW w:type="dxa" w:w="1247"/>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Stage 1</w:t>
              <w:br/>
              <w:t>异常检测</w:t>
            </w:r>
          </w:p>
        </w:tc>
        <w:tc>
          <w:tcPr>
            <w:tcW w:type="dxa" w:w="1361"/>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Stage 2</w:t>
              <w:br/>
              <w:t>子系统诊断</w:t>
            </w:r>
          </w:p>
        </w:tc>
        <w:tc>
          <w:tcPr>
            <w:tcW w:type="dxa" w:w="1134"/>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SHAP聚合</w:t>
            </w:r>
          </w:p>
        </w:tc>
        <w:tc>
          <w:tcPr>
            <w:tcW w:type="dxa" w:w="1247"/>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诊断+证据</w:t>
            </w:r>
          </w:p>
        </w:tc>
      </w:tr>
    </w:tbl>
    <w:p>
      <w:pPr>
        <w:spacing w:line="312" w:lineRule="auto" w:after="60"/>
        <w:ind w:firstLine="420"/>
      </w:pPr>
      <w:r>
        <w:rPr>
          <w:rFonts w:ascii="Times New Roman" w:hAnsi="Times New Roman" w:eastAsia="Noto Sans CJK SC"/>
          <w:sz w:val="20"/>
        </w:rPr>
        <w:t>子系统诊断优先采用 One-vs-Rest LightGBM experts 或 multiclass LightGBM，不采用大规模 Transformer。对于 Mechanical/Electrical、External Position、Global Position、Altitude 四类，分别构建与其物理/状态估计含义一致的 telemetry group，例如 actuator/vibration/battery、visual odometry/optical flow、GPS/global position/EKF innovation、barometer/distance sensor/vertical position。全局特征与子系统组特征共同输入模型，以验证“subsystem-aware grouping”是否真的提升诊断稳定性。</w:t>
      </w:r>
    </w:p>
    <w:p>
      <w:pPr>
        <w:pStyle w:val="Heading1"/>
        <w:keepNext/>
        <w:spacing w:before="140" w:after="60"/>
      </w:pPr>
      <w:r>
        <w:rPr>
          <w:rFonts w:ascii="Arial" w:hAnsi="Arial" w:eastAsia="Noto Sans CJK SC"/>
          <w:b/>
          <w:color w:val="1F4E79"/>
          <w:sz w:val="26"/>
        </w:rPr>
        <w:t>4. 方法设计与开源项目修改</w:t>
      </w:r>
    </w:p>
    <w:p>
      <w:pPr>
        <w:pStyle w:val="Heading2"/>
        <w:keepNext/>
        <w:spacing w:before="100" w:after="60"/>
      </w:pPr>
      <w:r>
        <w:rPr>
          <w:rFonts w:ascii="Arial" w:hAnsi="Arial" w:eastAsia="Noto Sans CJK SC"/>
          <w:b/>
          <w:color w:val="373737"/>
          <w:sz w:val="22"/>
        </w:rPr>
        <w:t>4.1 数据与标签设计</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cantSplit/>
        </w:trPr>
        <w:tc>
          <w:tcPr>
            <w:tcW w:type="dxa" w:w="1531"/>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资源</w:t>
            </w:r>
          </w:p>
        </w:tc>
        <w:tc>
          <w:tcPr>
            <w:tcW w:type="dxa" w:w="1417"/>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用途</w:t>
            </w:r>
          </w:p>
        </w:tc>
        <w:tc>
          <w:tcPr>
            <w:tcW w:type="dxa" w:w="3288"/>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主要内容</w:t>
            </w:r>
          </w:p>
        </w:tc>
        <w:tc>
          <w:tcPr>
            <w:tcW w:type="dxa" w:w="1247"/>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是否直接训练</w:t>
            </w:r>
          </w:p>
        </w:tc>
        <w:tc>
          <w:tcPr>
            <w:tcW w:type="dxa" w:w="1757"/>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备注</w:t>
            </w:r>
          </w:p>
        </w:tc>
      </w:tr>
      <w:tr>
        <w:trPr>
          <w:cantSplit/>
        </w:trPr>
        <w:tc>
          <w:tcPr>
            <w:tcW w:type="dxa" w:w="153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UAV-SEAD</w:t>
            </w:r>
          </w:p>
        </w:tc>
        <w:tc>
          <w:tcPr>
            <w:tcW w:type="dxa" w:w="1417"/>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主数据集</w:t>
            </w:r>
          </w:p>
        </w:tc>
        <w:tc>
          <w:tcPr>
            <w:tcW w:type="dxa" w:w="328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真实 PX4 多源遥测；Normal + 4 类异常</w:t>
            </w:r>
          </w:p>
        </w:tc>
        <w:tc>
          <w:tcPr>
            <w:tcW w:type="dxa" w:w="1247"/>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是</w:t>
            </w:r>
          </w:p>
        </w:tc>
        <w:tc>
          <w:tcPr>
            <w:tcW w:type="dxa" w:w="1757"/>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四分类与二分类均使用</w:t>
            </w:r>
          </w:p>
        </w:tc>
      </w:tr>
      <w:tr>
        <w:trPr>
          <w:cantSplit/>
        </w:trPr>
        <w:tc>
          <w:tcPr>
            <w:tcW w:type="dxa" w:w="153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ALFA</w:t>
            </w:r>
          </w:p>
        </w:tc>
        <w:tc>
          <w:tcPr>
            <w:tcW w:type="dxa" w:w="1417"/>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外部验证</w:t>
            </w:r>
          </w:p>
        </w:tc>
        <w:tc>
          <w:tcPr>
            <w:tcW w:type="dxa" w:w="328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固定翼真实故障飞行序列</w:t>
            </w:r>
          </w:p>
        </w:tc>
        <w:tc>
          <w:tcPr>
            <w:tcW w:type="dxa" w:w="1247"/>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仅异常检测</w:t>
            </w:r>
          </w:p>
        </w:tc>
        <w:tc>
          <w:tcPr>
            <w:tcW w:type="dxa" w:w="1757"/>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验证跨平台泛化</w:t>
            </w:r>
          </w:p>
        </w:tc>
      </w:tr>
      <w:tr>
        <w:trPr>
          <w:cantSplit/>
        </w:trPr>
        <w:tc>
          <w:tcPr>
            <w:tcW w:type="dxa" w:w="153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Uncategorized flights</w:t>
            </w:r>
          </w:p>
        </w:tc>
        <w:tc>
          <w:tcPr>
            <w:tcW w:type="dxa" w:w="1417"/>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可选增强</w:t>
            </w:r>
          </w:p>
        </w:tc>
        <w:tc>
          <w:tcPr>
            <w:tcW w:type="dxa" w:w="328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UAV-SEAD 未归类异常</w:t>
            </w:r>
          </w:p>
        </w:tc>
        <w:tc>
          <w:tcPr>
            <w:tcW w:type="dxa" w:w="1247"/>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否/后期</w:t>
            </w:r>
          </w:p>
        </w:tc>
        <w:tc>
          <w:tcPr>
            <w:tcW w:type="dxa" w:w="1757"/>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可做 Unknown Fault</w:t>
            </w:r>
          </w:p>
        </w:tc>
      </w:tr>
    </w:tbl>
    <w:p>
      <w:pPr>
        <w:pStyle w:val="Heading2"/>
        <w:keepNext/>
        <w:spacing w:before="100" w:after="60"/>
      </w:pPr>
      <w:r>
        <w:rPr>
          <w:rFonts w:ascii="Arial" w:hAnsi="Arial" w:eastAsia="Noto Sans CJK SC"/>
          <w:b/>
          <w:color w:val="373737"/>
          <w:sz w:val="22"/>
        </w:rPr>
        <w:t>4.2 基于哪些开源项目修改</w:t>
      </w:r>
    </w:p>
    <w:tbl>
      <w:tblPr>
        <w:tblStyle w:val="TableGrid"/>
        <w:tblW w:type="auto" w:w="0"/>
        <w:jc w:val="center"/>
        <w:tblLook w:firstColumn="1" w:firstRow="1" w:lastColumn="0" w:lastRow="0" w:noHBand="0" w:noVBand="1" w:val="04A0"/>
      </w:tblPr>
      <w:tblGrid>
        <w:gridCol w:w="2465"/>
        <w:gridCol w:w="2465"/>
        <w:gridCol w:w="2465"/>
        <w:gridCol w:w="2465"/>
      </w:tblGrid>
      <w:tr>
        <w:trPr>
          <w:cantSplit/>
        </w:trPr>
        <w:tc>
          <w:tcPr>
            <w:tcW w:type="dxa" w:w="1701"/>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项目</w:t>
            </w:r>
          </w:p>
        </w:tc>
        <w:tc>
          <w:tcPr>
            <w:tcW w:type="dxa" w:w="1701"/>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本研究角色</w:t>
            </w:r>
          </w:p>
        </w:tc>
        <w:tc>
          <w:tcPr>
            <w:tcW w:type="dxa" w:w="3061"/>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保留内容</w:t>
            </w:r>
          </w:p>
        </w:tc>
        <w:tc>
          <w:tcPr>
            <w:tcW w:type="dxa" w:w="2835"/>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计划修改/新增</w:t>
            </w:r>
          </w:p>
        </w:tc>
      </w:tr>
      <w:tr>
        <w:trPr>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AeroTSBoost</w:t>
            </w:r>
          </w:p>
        </w:tc>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主工程/主 baseline</w:t>
            </w:r>
          </w:p>
        </w:tc>
        <w:tc>
          <w:tcPr>
            <w:tcW w:type="dxa" w:w="306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10 Hz 对齐、滑窗、时序统计特征、LightGBM、严格划分</w:t>
            </w:r>
          </w:p>
        </w:tc>
        <w:tc>
          <w:tcPr>
            <w:tcW w:type="dxa" w:w="2835"/>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层次标签、Stage 2、子系统分组、SHAP 聚合与解释指标</w:t>
            </w:r>
          </w:p>
        </w:tc>
      </w:tr>
      <w:tr>
        <w:trPr>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ulog_annotation_tool</w:t>
            </w:r>
          </w:p>
        </w:tc>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数据工程辅助</w:t>
            </w:r>
          </w:p>
        </w:tc>
        <w:tc>
          <w:tcPr>
            <w:tcW w:type="dxa" w:w="306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ULog→CSV、同步、可视化、标注检查</w:t>
            </w:r>
          </w:p>
        </w:tc>
        <w:tc>
          <w:tcPr>
            <w:tcW w:type="dxa" w:w="2835"/>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仅必要接口适配，不做方法创新</w:t>
            </w:r>
          </w:p>
        </w:tc>
      </w:tr>
      <w:tr>
        <w:trPr>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CATCH / GCAD</w:t>
            </w:r>
          </w:p>
        </w:tc>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近期模型 baseline</w:t>
            </w:r>
          </w:p>
        </w:tc>
        <w:tc>
          <w:tcPr>
            <w:tcW w:type="dxa" w:w="306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官方时序异常检测实现</w:t>
            </w:r>
          </w:p>
        </w:tc>
        <w:tc>
          <w:tcPr>
            <w:tcW w:type="dxa" w:w="2835"/>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只做 UAV-SEAD adapter 与统一评测</w:t>
            </w:r>
          </w:p>
        </w:tc>
      </w:tr>
      <w:tr>
        <w:trPr>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Random Forest / LSTM-AE</w:t>
            </w:r>
          </w:p>
        </w:tc>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传统 baseline</w:t>
            </w:r>
          </w:p>
        </w:tc>
        <w:tc>
          <w:tcPr>
            <w:tcW w:type="dxa" w:w="306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经典分类/重构模型</w:t>
            </w:r>
          </w:p>
        </w:tc>
        <w:tc>
          <w:tcPr>
            <w:tcW w:type="dxa" w:w="2835"/>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统一数据划分与指标</w:t>
            </w:r>
          </w:p>
        </w:tc>
      </w:tr>
    </w:tbl>
    <w:p>
      <w:pPr>
        <w:pStyle w:val="Heading2"/>
        <w:keepNext/>
        <w:spacing w:before="100" w:after="60"/>
      </w:pPr>
      <w:r>
        <w:rPr>
          <w:rFonts w:ascii="Arial" w:hAnsi="Arial" w:eastAsia="Noto Sans CJK SC"/>
          <w:b/>
          <w:color w:val="373737"/>
          <w:sz w:val="22"/>
        </w:rPr>
        <w:t>4.3 分层可解释机制</w:t>
      </w:r>
    </w:p>
    <w:p>
      <w:pPr>
        <w:spacing w:line="312" w:lineRule="auto" w:after="60"/>
        <w:ind w:firstLine="420"/>
      </w:pPr>
      <w:r>
        <w:rPr>
          <w:rFonts w:ascii="Times New Roman" w:hAnsi="Times New Roman" w:eastAsia="Noto Sans CJK SC"/>
          <w:sz w:val="20"/>
        </w:rPr>
        <w:t>对 LightGBM 使用 TreeSHAP，但解释不止停留在单个 feature importance。建立“统计描述符 → telemetry channel → PX4 topic → subsystem”的四层映射，将同一 channel/topic 的 SHAP 贡献聚合，从而生成面向工程诊断的子系统证据。</w:t>
      </w:r>
    </w:p>
    <w:p>
      <w:pPr>
        <w:spacing w:line="312" w:lineRule="auto" w:after="60"/>
        <w:ind w:firstLine="420"/>
      </w:pPr>
      <w:r>
        <w:rPr>
          <w:rFonts w:ascii="Times New Roman" w:hAnsi="Times New Roman" w:eastAsia="Noto Sans CJK SC"/>
          <w:sz w:val="20"/>
        </w:rPr>
        <w:t>为避免解释仅停留在可视化，设计两个定量指标：① Top-k Feature Masking：删除 SHAP 排名前 k 的特征后重新评估，与随机删除同等数量特征比较性能下降；② Subsystem Consistency@K：统计 Top-K 高贡献信号所属 subsystem 与真实异常类别的一致程度。</w:t>
      </w:r>
    </w:p>
    <w:p>
      <w:pPr>
        <w:pStyle w:val="Heading1"/>
        <w:keepNext/>
        <w:spacing w:before="140" w:after="60"/>
      </w:pPr>
      <w:r>
        <w:rPr>
          <w:rFonts w:ascii="Arial" w:hAnsi="Arial" w:eastAsia="Noto Sans CJK SC"/>
          <w:b/>
          <w:color w:val="1F4E79"/>
          <w:sz w:val="26"/>
        </w:rPr>
        <w:t>5. 实验设计</w:t>
      </w:r>
    </w:p>
    <w:p>
      <w:pPr>
        <w:spacing w:line="312" w:lineRule="auto" w:after="60"/>
        <w:ind w:firstLine="420"/>
      </w:pPr>
      <w:r>
        <w:rPr>
          <w:rFonts w:ascii="Times New Roman" w:hAnsi="Times New Roman" w:eastAsia="Noto Sans CJK SC"/>
          <w:sz w:val="20"/>
        </w:rPr>
        <w:t>实验以“先复现、再扩展、最后泛化验证”为原则，控制为六组核心实验。所有模型尽可能使用同一 flight-level / chronological 划分，避免相邻滑窗跨越训练集和测试集产生泄漏。</w:t>
      </w:r>
    </w:p>
    <w:tbl>
      <w:tblPr>
        <w:tblStyle w:val="TableGrid"/>
        <w:tblW w:type="auto" w:w="0"/>
        <w:jc w:val="center"/>
        <w:tblLook w:firstColumn="1" w:firstRow="1" w:lastColumn="0" w:lastRow="0" w:noHBand="0" w:noVBand="1" w:val="04A0"/>
      </w:tblPr>
      <w:tblGrid>
        <w:gridCol w:w="2465"/>
        <w:gridCol w:w="2465"/>
        <w:gridCol w:w="2465"/>
        <w:gridCol w:w="2465"/>
      </w:tblGrid>
      <w:tr>
        <w:trPr>
          <w:cantSplit/>
        </w:trPr>
        <w:tc>
          <w:tcPr>
            <w:tcW w:type="dxa" w:w="1701"/>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实验</w:t>
            </w:r>
          </w:p>
        </w:tc>
        <w:tc>
          <w:tcPr>
            <w:tcW w:type="dxa" w:w="2891"/>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核心问题</w:t>
            </w:r>
          </w:p>
        </w:tc>
        <w:tc>
          <w:tcPr>
            <w:tcW w:type="dxa" w:w="3288"/>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主要对比</w:t>
            </w:r>
          </w:p>
        </w:tc>
        <w:tc>
          <w:tcPr>
            <w:tcW w:type="dxa" w:w="1984"/>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主要指标</w:t>
            </w:r>
          </w:p>
        </w:tc>
      </w:tr>
      <w:tr>
        <w:trPr>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E1 AeroTSBoost 复现</w:t>
            </w:r>
          </w:p>
        </w:tc>
        <w:tc>
          <w:tcPr>
            <w:tcW w:type="dxa" w:w="289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确认数据处理与主 baseline 可重复</w:t>
            </w:r>
          </w:p>
        </w:tc>
        <w:tc>
          <w:tcPr>
            <w:tcW w:type="dxa" w:w="328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论文报告值 vs 本地复现</w:t>
            </w:r>
          </w:p>
        </w:tc>
        <w:tc>
          <w:tcPr>
            <w:tcW w:type="dxa" w:w="1984"/>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AUPRC, AUROC, F1, Event-F1</w:t>
            </w:r>
          </w:p>
        </w:tc>
      </w:tr>
      <w:tr>
        <w:trPr>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E2 异常检测</w:t>
            </w:r>
          </w:p>
        </w:tc>
        <w:tc>
          <w:tcPr>
            <w:tcW w:type="dxa" w:w="289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本文检测层是否保持/提升性能</w:t>
            </w:r>
          </w:p>
        </w:tc>
        <w:tc>
          <w:tcPr>
            <w:tcW w:type="dxa" w:w="328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AeroTSBoost, CATCH, GCAD, RF, LSTM-AE</w:t>
            </w:r>
          </w:p>
        </w:tc>
        <w:tc>
          <w:tcPr>
            <w:tcW w:type="dxa" w:w="1984"/>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AUPRC 为主，兼顾 F1/AUROC</w:t>
            </w:r>
          </w:p>
        </w:tc>
      </w:tr>
      <w:tr>
        <w:trPr>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E3 子系统诊断</w:t>
            </w:r>
          </w:p>
        </w:tc>
        <w:tc>
          <w:tcPr>
            <w:tcW w:type="dxa" w:w="289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两阶段是否优于直接五分类/四分类</w:t>
            </w:r>
          </w:p>
        </w:tc>
        <w:tc>
          <w:tcPr>
            <w:tcW w:type="dxa" w:w="328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RF-MC, LightGBM-MC, MLP, 单阶段 vs HS-AeroTS</w:t>
            </w:r>
          </w:p>
        </w:tc>
        <w:tc>
          <w:tcPr>
            <w:tcW w:type="dxa" w:w="1984"/>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Macro-F1, BA, per-class Recall</w:t>
            </w:r>
          </w:p>
        </w:tc>
      </w:tr>
      <w:tr>
        <w:trPr>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E4 可解释性</w:t>
            </w:r>
          </w:p>
        </w:tc>
        <w:tc>
          <w:tcPr>
            <w:tcW w:type="dxa" w:w="289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解释是否对应真正重要信号/子系统</w:t>
            </w:r>
          </w:p>
        </w:tc>
        <w:tc>
          <w:tcPr>
            <w:tcW w:type="dxa" w:w="328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Top-k Masking, Random-k, Consistency@K</w:t>
            </w:r>
          </w:p>
        </w:tc>
        <w:tc>
          <w:tcPr>
            <w:tcW w:type="dxa" w:w="1984"/>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性能下降, Consistency@K</w:t>
            </w:r>
          </w:p>
        </w:tc>
      </w:tr>
      <w:tr>
        <w:trPr>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E5 防泄漏/泛化</w:t>
            </w:r>
          </w:p>
        </w:tc>
        <w:tc>
          <w:tcPr>
            <w:tcW w:type="dxa" w:w="289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结果是否依赖窗口重叠或单一日志</w:t>
            </w:r>
          </w:p>
        </w:tc>
        <w:tc>
          <w:tcPr>
            <w:tcW w:type="dxa" w:w="328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Chronological, Purged, Leave-log-out</w:t>
            </w:r>
          </w:p>
        </w:tc>
        <w:tc>
          <w:tcPr>
            <w:tcW w:type="dxa" w:w="1984"/>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AUPRC, Macro-F1</w:t>
            </w:r>
          </w:p>
        </w:tc>
      </w:tr>
      <w:tr>
        <w:trPr>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E6 外部验证</w:t>
            </w:r>
          </w:p>
        </w:tc>
        <w:tc>
          <w:tcPr>
            <w:tcW w:type="dxa" w:w="289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异常检测是否跨 UAV 平台有效</w:t>
            </w:r>
          </w:p>
        </w:tc>
        <w:tc>
          <w:tcPr>
            <w:tcW w:type="dxa" w:w="328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ALFA 上 AeroTSBoost/RF/HS-AeroTS</w:t>
            </w:r>
          </w:p>
        </w:tc>
        <w:tc>
          <w:tcPr>
            <w:tcW w:type="dxa" w:w="1984"/>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AUPRC, F1, Event-F1</w:t>
            </w:r>
          </w:p>
        </w:tc>
      </w:tr>
    </w:tbl>
    <w:p>
      <w:pPr>
        <w:pStyle w:val="Heading2"/>
        <w:keepNext/>
        <w:spacing w:before="100" w:after="60"/>
      </w:pPr>
      <w:r>
        <w:rPr>
          <w:rFonts w:ascii="Arial" w:hAnsi="Arial" w:eastAsia="Noto Sans CJK SC"/>
          <w:b/>
          <w:color w:val="373737"/>
          <w:sz w:val="22"/>
        </w:rPr>
        <w:t>5.1 Baseline 选择</w:t>
      </w:r>
    </w:p>
    <w:p>
      <w:pPr>
        <w:spacing w:line="312" w:lineRule="auto" w:after="60"/>
        <w:ind w:firstLine="420"/>
      </w:pPr>
      <w:r>
        <w:rPr>
          <w:rFonts w:ascii="Times New Roman" w:hAnsi="Times New Roman" w:eastAsia="Noto Sans CJK SC"/>
          <w:sz w:val="20"/>
        </w:rPr>
        <w:t>正文不追求大量 baseline，建议控制在 5–6 个有代表性的方法。核心是与 2025–2026 年近期时序异常检测方法和直接 UAV baseline 对比，传统模型用于体现增益来源。</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cantSplit/>
        </w:trPr>
        <w:tc>
          <w:tcPr>
            <w:tcW w:type="dxa" w:w="1701"/>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方法</w:t>
            </w:r>
          </w:p>
        </w:tc>
        <w:tc>
          <w:tcPr>
            <w:tcW w:type="dxa" w:w="850"/>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年份</w:t>
            </w:r>
          </w:p>
        </w:tc>
        <w:tc>
          <w:tcPr>
            <w:tcW w:type="dxa" w:w="2948"/>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类型</w:t>
            </w:r>
          </w:p>
        </w:tc>
        <w:tc>
          <w:tcPr>
            <w:tcW w:type="dxa" w:w="1701"/>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代码情况</w:t>
            </w:r>
          </w:p>
        </w:tc>
        <w:tc>
          <w:tcPr>
            <w:tcW w:type="dxa" w:w="2154"/>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建议用途</w:t>
            </w:r>
          </w:p>
        </w:tc>
      </w:tr>
      <w:tr>
        <w:trPr>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AeroTSBoost</w:t>
            </w:r>
          </w:p>
        </w:tc>
        <w:tc>
          <w:tcPr>
            <w:tcW w:type="dxa" w:w="85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2026</w:t>
            </w:r>
          </w:p>
        </w:tc>
        <w:tc>
          <w:tcPr>
            <w:tcW w:type="dxa" w:w="294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UAV telemetry + LightGBM</w:t>
            </w:r>
          </w:p>
        </w:tc>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公开/可复现</w:t>
            </w:r>
          </w:p>
        </w:tc>
        <w:tc>
          <w:tcPr>
            <w:tcW w:type="dxa" w:w="2154"/>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最重要主 baseline</w:t>
            </w:r>
          </w:p>
        </w:tc>
      </w:tr>
      <w:tr>
        <w:trPr>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CATCH</w:t>
            </w:r>
          </w:p>
        </w:tc>
        <w:tc>
          <w:tcPr>
            <w:tcW w:type="dxa" w:w="85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2025</w:t>
            </w:r>
          </w:p>
        </w:tc>
        <w:tc>
          <w:tcPr>
            <w:tcW w:type="dxa" w:w="294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频域/通道感知时序异常检测</w:t>
            </w:r>
          </w:p>
        </w:tc>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官方代码</w:t>
            </w:r>
          </w:p>
        </w:tc>
        <w:tc>
          <w:tcPr>
            <w:tcW w:type="dxa" w:w="2154"/>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近期强 baseline</w:t>
            </w:r>
          </w:p>
        </w:tc>
      </w:tr>
      <w:tr>
        <w:trPr>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GCAD</w:t>
            </w:r>
          </w:p>
        </w:tc>
        <w:tc>
          <w:tcPr>
            <w:tcW w:type="dxa" w:w="85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2025</w:t>
            </w:r>
          </w:p>
        </w:tc>
        <w:tc>
          <w:tcPr>
            <w:tcW w:type="dxa" w:w="294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Granger 因果多变量异常检测</w:t>
            </w:r>
          </w:p>
        </w:tc>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官方代码</w:t>
            </w:r>
          </w:p>
        </w:tc>
        <w:tc>
          <w:tcPr>
            <w:tcW w:type="dxa" w:w="2154"/>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近期强 baseline</w:t>
            </w:r>
          </w:p>
        </w:tc>
      </w:tr>
      <w:tr>
        <w:trPr>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xLSTMAD</w:t>
            </w:r>
          </w:p>
        </w:tc>
        <w:tc>
          <w:tcPr>
            <w:tcW w:type="dxa" w:w="85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2025</w:t>
            </w:r>
          </w:p>
        </w:tc>
        <w:tc>
          <w:tcPr>
            <w:tcW w:type="dxa" w:w="294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xLSTM 时序异常检测</w:t>
            </w:r>
          </w:p>
        </w:tc>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有公开实现</w:t>
            </w:r>
          </w:p>
        </w:tc>
        <w:tc>
          <w:tcPr>
            <w:tcW w:type="dxa" w:w="2154"/>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时间允许时补充</w:t>
            </w:r>
          </w:p>
        </w:tc>
      </w:tr>
      <w:tr>
        <w:trPr>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Random Forest</w:t>
            </w:r>
          </w:p>
        </w:tc>
        <w:tc>
          <w:tcPr>
            <w:tcW w:type="dxa" w:w="85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经典</w:t>
            </w:r>
          </w:p>
        </w:tc>
        <w:tc>
          <w:tcPr>
            <w:tcW w:type="dxa" w:w="294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统计学习</w:t>
            </w:r>
          </w:p>
        </w:tc>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成熟</w:t>
            </w:r>
          </w:p>
        </w:tc>
        <w:tc>
          <w:tcPr>
            <w:tcW w:type="dxa" w:w="2154"/>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传统 baseline</w:t>
            </w:r>
          </w:p>
        </w:tc>
      </w:tr>
      <w:tr>
        <w:trPr>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LSTM-AE</w:t>
            </w:r>
          </w:p>
        </w:tc>
        <w:tc>
          <w:tcPr>
            <w:tcW w:type="dxa" w:w="85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经典</w:t>
            </w:r>
          </w:p>
        </w:tc>
        <w:tc>
          <w:tcPr>
            <w:tcW w:type="dxa" w:w="294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序列重构</w:t>
            </w:r>
          </w:p>
        </w:tc>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成熟</w:t>
            </w:r>
          </w:p>
        </w:tc>
        <w:tc>
          <w:tcPr>
            <w:tcW w:type="dxa" w:w="2154"/>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深度传统 baseline</w:t>
            </w:r>
          </w:p>
        </w:tc>
      </w:tr>
    </w:tbl>
    <w:p>
      <w:pPr>
        <w:pStyle w:val="Heading2"/>
        <w:keepNext/>
        <w:spacing w:before="100" w:after="60"/>
      </w:pPr>
      <w:r>
        <w:rPr>
          <w:rFonts w:ascii="Arial" w:hAnsi="Arial" w:eastAsia="Noto Sans CJK SC"/>
          <w:b/>
          <w:color w:val="373737"/>
          <w:sz w:val="22"/>
        </w:rPr>
        <w:t>5.2 消融与统计验证</w:t>
      </w:r>
    </w:p>
    <w:p>
      <w:pPr>
        <w:pStyle w:val="ListBullet"/>
        <w:spacing w:after="20" w:line="312" w:lineRule="auto"/>
      </w:pPr>
      <w:r>
        <w:rPr>
          <w:rFonts w:ascii="Times New Roman" w:hAnsi="Times New Roman" w:eastAsia="Noto Sans CJK SC"/>
          <w:sz w:val="20"/>
        </w:rPr>
        <w:t>No Hierarchy：直接做 Normal + 四异常五分类，验证两阶段结构是否必要。</w:t>
      </w:r>
    </w:p>
    <w:p>
      <w:pPr>
        <w:pStyle w:val="ListBullet"/>
        <w:spacing w:after="20" w:line="312" w:lineRule="auto"/>
      </w:pPr>
      <w:r>
        <w:rPr>
          <w:rFonts w:ascii="Times New Roman" w:hAnsi="Times New Roman" w:eastAsia="Noto Sans CJK SC"/>
          <w:sz w:val="20"/>
        </w:rPr>
        <w:t>No Subsystem Grouping：取消 telemetry → subsystem 分组，验证领域先验是否有效。</w:t>
      </w:r>
    </w:p>
    <w:p>
      <w:pPr>
        <w:pStyle w:val="ListBullet"/>
        <w:spacing w:after="20" w:line="312" w:lineRule="auto"/>
      </w:pPr>
      <w:r>
        <w:rPr>
          <w:rFonts w:ascii="Times New Roman" w:hAnsi="Times New Roman" w:eastAsia="Noto Sans CJK SC"/>
          <w:sz w:val="20"/>
        </w:rPr>
        <w:t>Reduced Temporal Features：仅使用 mean/std 等简单统计，验证完整 AeroTS descriptors 的贡献。</w:t>
      </w:r>
    </w:p>
    <w:p>
      <w:pPr>
        <w:pStyle w:val="ListBullet"/>
        <w:spacing w:after="20" w:line="312" w:lineRule="auto"/>
      </w:pPr>
      <w:r>
        <w:rPr>
          <w:rFonts w:ascii="Times New Roman" w:hAnsi="Times New Roman" w:eastAsia="Noto Sans CJK SC"/>
          <w:sz w:val="20"/>
        </w:rPr>
        <w:t>No Explanation Aggregation：仅使用 feature-level SHAP，与层次聚合解释比较可读性与 Consistency@K。</w:t>
      </w:r>
    </w:p>
    <w:p>
      <w:pPr>
        <w:spacing w:line="312" w:lineRule="auto" w:after="60"/>
        <w:ind w:firstLine="420"/>
      </w:pPr>
      <w:r>
        <w:rPr>
          <w:rFonts w:ascii="Times New Roman" w:hAnsi="Times New Roman" w:eastAsia="Noto Sans CJK SC"/>
          <w:sz w:val="20"/>
        </w:rPr>
        <w:t>建议对 Macro-F1、AUPRC 等主要指标进行多随机种子或重复划分，并报告均值±标准差；如比较多个模型，可补充 Wilcoxon signed-rank test 或 bootstrap confidence interval。若数据集原始推荐划分固定，则以重复训练 seed 为主，不人为破坏 flight-level 隔离。</w:t>
      </w:r>
    </w:p>
    <w:p>
      <w:pPr>
        <w:pStyle w:val="Heading1"/>
        <w:keepNext/>
        <w:spacing w:before="140" w:after="60"/>
      </w:pPr>
      <w:r>
        <w:rPr>
          <w:rFonts w:ascii="Arial" w:hAnsi="Arial" w:eastAsia="Noto Sans CJK SC"/>
          <w:b/>
          <w:color w:val="1F4E79"/>
          <w:sz w:val="26"/>
        </w:rPr>
        <w:t>6. 创新点与预期贡献</w:t>
      </w:r>
    </w:p>
    <w:p>
      <w:pPr>
        <w:pStyle w:val="ListNumber"/>
        <w:spacing w:after="20" w:line="312" w:lineRule="auto"/>
      </w:pPr>
      <w:r>
        <w:rPr>
          <w:rFonts w:ascii="Times New Roman" w:hAnsi="Times New Roman" w:eastAsia="Noto Sans CJK SC"/>
          <w:sz w:val="20"/>
        </w:rPr>
        <w:t>从异常检测扩展到层次化子系统诊断：在同一真实 UAV telemetry 框架中同时回答“是否异常”和“哪类子系统异常”，避免研究停留在单一二分类。</w:t>
      </w:r>
    </w:p>
    <w:p>
      <w:pPr>
        <w:pStyle w:val="ListNumber"/>
        <w:spacing w:after="20" w:line="312" w:lineRule="auto"/>
      </w:pPr>
      <w:r>
        <w:rPr>
          <w:rFonts w:ascii="Times New Roman" w:hAnsi="Times New Roman" w:eastAsia="Noto Sans CJK SC"/>
          <w:sz w:val="20"/>
        </w:rPr>
        <w:t>提出 subsystem-aware 层次解释：将模型贡献从统计特征聚合到 telemetry channel、PX4 topic 和 subsystem，并通过 Feature Masking 与 Consistency@K 进行定量验证。</w:t>
      </w:r>
    </w:p>
    <w:p>
      <w:pPr>
        <w:pStyle w:val="ListNumber"/>
        <w:spacing w:after="20" w:line="312" w:lineRule="auto"/>
      </w:pPr>
      <w:r>
        <w:rPr>
          <w:rFonts w:ascii="Times New Roman" w:hAnsi="Times New Roman" w:eastAsia="Noto Sans CJK SC"/>
          <w:sz w:val="20"/>
        </w:rPr>
        <w:t>构建严格、可复现的真实飞行评测流程：主实验采用 UAV-SEAD，保留 chronological/purged/leave-log-out 防泄漏设计，并以 ALFA 做跨平台外部验证。</w:t>
      </w:r>
    </w:p>
    <w:p>
      <w:pPr>
        <w:spacing w:line="312" w:lineRule="auto" w:after="60"/>
        <w:ind w:firstLine="420"/>
      </w:pPr>
      <w:r>
        <w:rPr>
          <w:rFonts w:ascii="Times New Roman" w:hAnsi="Times New Roman" w:eastAsia="Noto Sans CJK SC"/>
          <w:sz w:val="20"/>
        </w:rPr>
        <w:t>预期论文贡献应强调“诊断能力与工程解释性”，而不是声称提出新的 LightGBM。若最终模型性能仅与 AeroTSBoost 持平，只要子系统 Macro-F1、解释一致性和外部验证表现稳定，论文故事仍然成立。</w:t>
      </w:r>
    </w:p>
    <w:p>
      <w:pPr>
        <w:pStyle w:val="Heading1"/>
        <w:keepNext/>
        <w:spacing w:before="140" w:after="60"/>
      </w:pPr>
      <w:r>
        <w:rPr>
          <w:rFonts w:ascii="Arial" w:hAnsi="Arial" w:eastAsia="Noto Sans CJK SC"/>
          <w:b/>
          <w:color w:val="1F4E79"/>
          <w:sz w:val="26"/>
        </w:rPr>
        <w:t>7. 实施路线与研究进度</w:t>
      </w:r>
    </w:p>
    <w:p>
      <w:pPr>
        <w:spacing w:line="312" w:lineRule="auto" w:after="60"/>
        <w:ind w:firstLine="420"/>
      </w:pPr>
      <w:r>
        <w:rPr>
          <w:rFonts w:ascii="Times New Roman" w:hAnsi="Times New Roman" w:eastAsia="Noto Sans CJK SC"/>
          <w:sz w:val="20"/>
        </w:rPr>
        <w:t>为了降低研究风险，按“必须完成 → 可选增强”的顺序推进。前四个阶段构成最小可投稿版本（MVP），后续实验用于增强论文说服力。</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cantSplit/>
        </w:trPr>
        <w:tc>
          <w:tcPr>
            <w:tcW w:type="dxa" w:w="680"/>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阶段</w:t>
            </w:r>
          </w:p>
        </w:tc>
        <w:tc>
          <w:tcPr>
            <w:tcW w:type="dxa" w:w="2835"/>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任务</w:t>
            </w:r>
          </w:p>
        </w:tc>
        <w:tc>
          <w:tcPr>
            <w:tcW w:type="dxa" w:w="2268"/>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主要产出</w:t>
            </w:r>
          </w:p>
        </w:tc>
        <w:tc>
          <w:tcPr>
            <w:tcW w:type="dxa" w:w="1020"/>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优先级</w:t>
            </w:r>
          </w:p>
        </w:tc>
        <w:tc>
          <w:tcPr>
            <w:tcW w:type="dxa" w:w="2608"/>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完成判据</w:t>
            </w:r>
          </w:p>
        </w:tc>
      </w:tr>
      <w:tr>
        <w:trPr>
          <w:cantSplit/>
        </w:trPr>
        <w:tc>
          <w:tcPr>
            <w:tcW w:type="dxa" w:w="68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P1</w:t>
            </w:r>
          </w:p>
        </w:tc>
        <w:tc>
          <w:tcPr>
            <w:tcW w:type="dxa" w:w="2835"/>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UAV-SEAD 下载与数据检查；跑通 ULog/CSV 工具</w:t>
            </w:r>
          </w:p>
        </w:tc>
        <w:tc>
          <w:tcPr>
            <w:tcW w:type="dxa" w:w="226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数据字典、可用日志清单</w:t>
            </w:r>
          </w:p>
        </w:tc>
        <w:tc>
          <w:tcPr>
            <w:tcW w:type="dxa" w:w="102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必须</w:t>
            </w:r>
          </w:p>
        </w:tc>
        <w:tc>
          <w:tcPr>
            <w:tcW w:type="dxa" w:w="260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能够读取标签与 87 类核心通道</w:t>
            </w:r>
          </w:p>
        </w:tc>
      </w:tr>
      <w:tr>
        <w:trPr>
          <w:cantSplit/>
        </w:trPr>
        <w:tc>
          <w:tcPr>
            <w:tcW w:type="dxa" w:w="68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P2</w:t>
            </w:r>
          </w:p>
        </w:tc>
        <w:tc>
          <w:tcPr>
            <w:tcW w:type="dxa" w:w="2835"/>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复现 AeroTSBoost</w:t>
            </w:r>
          </w:p>
        </w:tc>
        <w:tc>
          <w:tcPr>
            <w:tcW w:type="dxa" w:w="226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可重复 baseline 表格</w:t>
            </w:r>
          </w:p>
        </w:tc>
        <w:tc>
          <w:tcPr>
            <w:tcW w:type="dxa" w:w="102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必须</w:t>
            </w:r>
          </w:p>
        </w:tc>
        <w:tc>
          <w:tcPr>
            <w:tcW w:type="dxa" w:w="260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主要指标趋势与论文一致</w:t>
            </w:r>
          </w:p>
        </w:tc>
      </w:tr>
      <w:tr>
        <w:trPr>
          <w:cantSplit/>
        </w:trPr>
        <w:tc>
          <w:tcPr>
            <w:tcW w:type="dxa" w:w="68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P3</w:t>
            </w:r>
          </w:p>
        </w:tc>
        <w:tc>
          <w:tcPr>
            <w:tcW w:type="dxa" w:w="2835"/>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实现四类子系统标签与 Stage 2</w:t>
            </w:r>
          </w:p>
        </w:tc>
        <w:tc>
          <w:tcPr>
            <w:tcW w:type="dxa" w:w="226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子系统分类结果</w:t>
            </w:r>
          </w:p>
        </w:tc>
        <w:tc>
          <w:tcPr>
            <w:tcW w:type="dxa" w:w="102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必须</w:t>
            </w:r>
          </w:p>
        </w:tc>
        <w:tc>
          <w:tcPr>
            <w:tcW w:type="dxa" w:w="260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Macro-F1 明显优于随机/多数类</w:t>
            </w:r>
          </w:p>
        </w:tc>
      </w:tr>
      <w:tr>
        <w:trPr>
          <w:cantSplit/>
        </w:trPr>
        <w:tc>
          <w:tcPr>
            <w:tcW w:type="dxa" w:w="68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P4</w:t>
            </w:r>
          </w:p>
        </w:tc>
        <w:tc>
          <w:tcPr>
            <w:tcW w:type="dxa" w:w="2835"/>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实现 SHAP 层次聚合与定量解释</w:t>
            </w:r>
          </w:p>
        </w:tc>
        <w:tc>
          <w:tcPr>
            <w:tcW w:type="dxa" w:w="226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案例图 + Masking/Consistency 指标</w:t>
            </w:r>
          </w:p>
        </w:tc>
        <w:tc>
          <w:tcPr>
            <w:tcW w:type="dxa" w:w="102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必须</w:t>
            </w:r>
          </w:p>
        </w:tc>
        <w:tc>
          <w:tcPr>
            <w:tcW w:type="dxa" w:w="260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解释能稳定指向对应信号组</w:t>
            </w:r>
          </w:p>
        </w:tc>
      </w:tr>
      <w:tr>
        <w:trPr>
          <w:cantSplit/>
        </w:trPr>
        <w:tc>
          <w:tcPr>
            <w:tcW w:type="dxa" w:w="68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P5</w:t>
            </w:r>
          </w:p>
        </w:tc>
        <w:tc>
          <w:tcPr>
            <w:tcW w:type="dxa" w:w="2835"/>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补 CATCH/GCAD/传统 baseline</w:t>
            </w:r>
          </w:p>
        </w:tc>
        <w:tc>
          <w:tcPr>
            <w:tcW w:type="dxa" w:w="226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完整对比表</w:t>
            </w:r>
          </w:p>
        </w:tc>
        <w:tc>
          <w:tcPr>
            <w:tcW w:type="dxa" w:w="102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增强</w:t>
            </w:r>
          </w:p>
        </w:tc>
        <w:tc>
          <w:tcPr>
            <w:tcW w:type="dxa" w:w="260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统一协议下完成对比</w:t>
            </w:r>
          </w:p>
        </w:tc>
      </w:tr>
      <w:tr>
        <w:trPr>
          <w:cantSplit/>
        </w:trPr>
        <w:tc>
          <w:tcPr>
            <w:tcW w:type="dxa" w:w="68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P6</w:t>
            </w:r>
          </w:p>
        </w:tc>
        <w:tc>
          <w:tcPr>
            <w:tcW w:type="dxa" w:w="2835"/>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ALFA 外部验证</w:t>
            </w:r>
          </w:p>
        </w:tc>
        <w:tc>
          <w:tcPr>
            <w:tcW w:type="dxa" w:w="226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跨平台实验</w:t>
            </w:r>
          </w:p>
        </w:tc>
        <w:tc>
          <w:tcPr>
            <w:tcW w:type="dxa" w:w="102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增强</w:t>
            </w:r>
          </w:p>
        </w:tc>
        <w:tc>
          <w:tcPr>
            <w:tcW w:type="dxa" w:w="260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得到可报告的外部测试结果</w:t>
            </w:r>
          </w:p>
        </w:tc>
      </w:tr>
      <w:tr>
        <w:trPr>
          <w:cantSplit/>
        </w:trPr>
        <w:tc>
          <w:tcPr>
            <w:tcW w:type="dxa" w:w="68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P7</w:t>
            </w:r>
          </w:p>
        </w:tc>
        <w:tc>
          <w:tcPr>
            <w:tcW w:type="dxa" w:w="2835"/>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Unknown Fault / Uncategorized</w:t>
            </w:r>
          </w:p>
        </w:tc>
        <w:tc>
          <w:tcPr>
            <w:tcW w:type="dxa" w:w="226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开放集附加实验</w:t>
            </w:r>
          </w:p>
        </w:tc>
        <w:tc>
          <w:tcPr>
            <w:tcW w:type="dxa" w:w="102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可选</w:t>
            </w:r>
          </w:p>
        </w:tc>
        <w:tc>
          <w:tcPr>
            <w:tcW w:type="dxa" w:w="260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不影响主线时再开展</w:t>
            </w:r>
          </w:p>
        </w:tc>
      </w:tr>
    </w:tbl>
    <w:p>
      <w:pPr>
        <w:spacing w:line="312" w:lineRule="auto" w:after="60"/>
        <w:ind w:firstLine="420"/>
      </w:pPr>
      <w:r>
        <w:rPr>
          <w:rFonts w:ascii="Times New Roman" w:hAnsi="Times New Roman" w:eastAsia="Noto Sans CJK SC"/>
          <w:sz w:val="20"/>
        </w:rPr>
        <w:t>最小可投稿版本建议固定为：UAV-SEAD + AeroTSBoost 复现 + Hierarchical LightGBM + Subsystem Diagnosis + Hierarchical SHAP Explanation + 严格防泄漏划分。ALFA 外部验证和 Unknown Fault 属于增强项；如果 CATCH/GCAD 适配成本过高，可保留 AeroTSBoost、LightGBM、RF、LSTM-AE 与单阶段 multiclass 作为最低对比集合。</w:t>
      </w:r>
    </w:p>
    <w:p>
      <w:pPr>
        <w:pStyle w:val="Heading1"/>
        <w:keepNext/>
        <w:spacing w:before="140" w:after="60"/>
      </w:pPr>
      <w:r>
        <w:rPr>
          <w:rFonts w:ascii="Arial" w:hAnsi="Arial" w:eastAsia="Noto Sans CJK SC"/>
          <w:b/>
          <w:color w:val="1F4E79"/>
          <w:sz w:val="26"/>
        </w:rPr>
        <w:t>8. 风险控制与论文表述边界</w:t>
      </w:r>
    </w:p>
    <w:p>
      <w:pPr>
        <w:pStyle w:val="ListBullet"/>
        <w:spacing w:after="20" w:line="312" w:lineRule="auto"/>
      </w:pPr>
      <w:r>
        <w:rPr>
          <w:rFonts w:ascii="Times New Roman" w:hAnsi="Times New Roman" w:eastAsia="Noto Sans CJK SC"/>
          <w:sz w:val="20"/>
        </w:rPr>
        <w:t>不要将 UAV-SEAD 四类异常直接称为 PX4 源代码软件 bug；统一使用 “runtime anomaly / subsystem-level diagnosis / state-estimation-related anomaly”。</w:t>
      </w:r>
    </w:p>
    <w:p>
      <w:pPr>
        <w:pStyle w:val="ListBullet"/>
        <w:spacing w:after="20" w:line="312" w:lineRule="auto"/>
      </w:pPr>
      <w:r>
        <w:rPr>
          <w:rFonts w:ascii="Times New Roman" w:hAnsi="Times New Roman" w:eastAsia="Noto Sans CJK SC"/>
          <w:sz w:val="20"/>
        </w:rPr>
        <w:t>不要用随机 window-level split 作为主结果；必须保证相邻窗口和同一 flight log 的泄漏受到控制。</w:t>
      </w:r>
    </w:p>
    <w:p>
      <w:pPr>
        <w:pStyle w:val="ListBullet"/>
        <w:spacing w:after="20" w:line="312" w:lineRule="auto"/>
      </w:pPr>
      <w:r>
        <w:rPr>
          <w:rFonts w:ascii="Times New Roman" w:hAnsi="Times New Roman" w:eastAsia="Noto Sans CJK SC"/>
          <w:sz w:val="20"/>
        </w:rPr>
        <w:t>如果子系统分类出现严重类别不平衡，优先使用 class weight、balanced sampling 和 Macro-F1，而不是只汇报 Accuracy。</w:t>
      </w:r>
    </w:p>
    <w:p>
      <w:pPr>
        <w:pStyle w:val="ListBullet"/>
        <w:spacing w:after="20" w:line="312" w:lineRule="auto"/>
      </w:pPr>
      <w:r>
        <w:rPr>
          <w:rFonts w:ascii="Times New Roman" w:hAnsi="Times New Roman" w:eastAsia="Noto Sans CJK SC"/>
          <w:sz w:val="20"/>
        </w:rPr>
        <w:t>若新增模型没有显著超过 AeroTSBoost，不继续堆复杂网络；将贡献集中在层次诊断、解释定量化和真实飞行验证。</w:t>
      </w:r>
    </w:p>
    <w:p>
      <w:pPr>
        <w:pStyle w:val="ListBullet"/>
        <w:spacing w:after="20" w:line="312" w:lineRule="auto"/>
      </w:pPr>
      <w:r>
        <w:rPr>
          <w:rFonts w:ascii="Times New Roman" w:hAnsi="Times New Roman" w:eastAsia="Noto Sans CJK SC"/>
          <w:sz w:val="20"/>
        </w:rPr>
        <w:t>投稿前再次核验 2025–2026 预印本的最终发表状态、代码地址和版本，参考文献中区分正式会议/期刊与 arXiv。</w:t>
      </w:r>
    </w:p>
    <w:p>
      <w:pPr>
        <w:pStyle w:val="Heading1"/>
        <w:keepNext/>
        <w:spacing w:before="140" w:after="60"/>
      </w:pPr>
      <w:r>
        <w:rPr>
          <w:rFonts w:ascii="Arial" w:hAnsi="Arial" w:eastAsia="Noto Sans CJK SC"/>
          <w:b/>
          <w:color w:val="1F4E79"/>
          <w:sz w:val="26"/>
        </w:rPr>
        <w:t>参考文献与开源资源（研究阶段工作清单）</w:t>
      </w:r>
    </w:p>
    <w:p>
      <w:pPr>
        <w:spacing w:after="20" w:line="252" w:lineRule="auto"/>
        <w:ind w:left="227"/>
      </w:pPr>
      <w:r>
        <w:rPr>
          <w:rFonts w:ascii="Times New Roman" w:hAnsi="Times New Roman" w:eastAsia="Noto Sans CJK SC"/>
          <w:sz w:val="16"/>
        </w:rPr>
        <w:t>[1] AeroTSBoost: Temporal-Statistical Boosting for Real-World UAV Telemetry Anomaly Mining. 2026.（预印本/代码与最终发表状态投稿前复核）</w:t>
      </w:r>
    </w:p>
    <w:p>
      <w:pPr>
        <w:spacing w:after="20" w:line="252" w:lineRule="auto"/>
        <w:ind w:left="227"/>
      </w:pPr>
      <w:r>
        <w:rPr>
          <w:rFonts w:ascii="Times New Roman" w:hAnsi="Times New Roman" w:eastAsia="Noto Sans CJK SC"/>
          <w:sz w:val="16"/>
        </w:rPr>
        <w:t>[2] UAV-SEAD: State Estimation Anomaly Dataset for UAVs. 2026. 数据集与标注工具公开。</w:t>
      </w:r>
    </w:p>
    <w:p>
      <w:pPr>
        <w:spacing w:after="20" w:line="252" w:lineRule="auto"/>
        <w:ind w:left="227"/>
      </w:pPr>
      <w:r>
        <w:rPr>
          <w:rFonts w:ascii="Times New Roman" w:hAnsi="Times New Roman" w:eastAsia="Noto Sans CJK SC"/>
          <w:sz w:val="16"/>
        </w:rPr>
        <w:t>[3] CATCH: Channel-Aware Multivariate Time Series Anomaly Detection via Frequency Patching. ICLR 2025.</w:t>
      </w:r>
    </w:p>
    <w:p>
      <w:pPr>
        <w:spacing w:after="20" w:line="252" w:lineRule="auto"/>
        <w:ind w:left="227"/>
      </w:pPr>
      <w:r>
        <w:rPr>
          <w:rFonts w:ascii="Times New Roman" w:hAnsi="Times New Roman" w:eastAsia="Noto Sans CJK SC"/>
          <w:sz w:val="16"/>
        </w:rPr>
        <w:t>[4] GCAD: Anomaly Detection in Multivariate Time Series from the Perspective of Granger Causality. AAAI 2025.</w:t>
      </w:r>
    </w:p>
    <w:p>
      <w:pPr>
        <w:spacing w:after="20" w:line="252" w:lineRule="auto"/>
        <w:ind w:left="227"/>
      </w:pPr>
      <w:r>
        <w:rPr>
          <w:rFonts w:ascii="Times New Roman" w:hAnsi="Times New Roman" w:eastAsia="Noto Sans CJK SC"/>
          <w:sz w:val="16"/>
        </w:rPr>
        <w:t>[5] xLSTMAD: A Powerful xLSTM-Based Method for Anomaly Detection. 2025.（发表状态投稿前复核）</w:t>
      </w:r>
    </w:p>
    <w:p>
      <w:pPr>
        <w:spacing w:after="20" w:line="252" w:lineRule="auto"/>
        <w:ind w:left="227"/>
      </w:pPr>
      <w:r>
        <w:rPr>
          <w:rFonts w:ascii="Times New Roman" w:hAnsi="Times New Roman" w:eastAsia="Noto Sans CJK SC"/>
          <w:sz w:val="16"/>
        </w:rPr>
        <w:t>[6] Runtime Anomaly Detection for Drones: An Integrated Rule-Mining and Unsupervised-Learning Approach. ICECCS 2025.</w:t>
      </w:r>
    </w:p>
    <w:p>
      <w:pPr>
        <w:spacing w:after="20" w:line="252" w:lineRule="auto"/>
        <w:ind w:left="227"/>
      </w:pPr>
      <w:r>
        <w:rPr>
          <w:rFonts w:ascii="Times New Roman" w:hAnsi="Times New Roman" w:eastAsia="Noto Sans CJK SC"/>
          <w:sz w:val="16"/>
        </w:rPr>
        <w:t>[7] Interpretable Attention-Based Prototype Network for UAV Fault Diagnosis under Small Sample Conditions. Reliability Engineering &amp; System Safety, 2026.</w:t>
      </w:r>
    </w:p>
    <w:p>
      <w:pPr>
        <w:spacing w:after="20" w:line="252" w:lineRule="auto"/>
        <w:ind w:left="227"/>
      </w:pPr>
      <w:r>
        <w:rPr>
          <w:rFonts w:ascii="Times New Roman" w:hAnsi="Times New Roman" w:eastAsia="Noto Sans CJK SC"/>
          <w:sz w:val="16"/>
        </w:rPr>
        <w:t>[8] ALFA Dataset: real fixed-wing UAV fault data and open analysis tools.</w:t>
      </w:r>
    </w:p>
    <w:p>
      <w:pPr>
        <w:spacing w:after="20" w:line="252" w:lineRule="auto"/>
        <w:ind w:left="227"/>
      </w:pPr>
      <w:r>
        <w:rPr>
          <w:rFonts w:ascii="Times New Roman" w:hAnsi="Times New Roman" w:eastAsia="Noto Sans CJK SC"/>
          <w:sz w:val="16"/>
        </w:rPr>
        <w:t>[9] ulog_annotation_tool: PX4 ULog conversion, synchronization, visualization and anomaly annotation utility.</w:t>
      </w:r>
    </w:p>
    <w:sectPr w:rsidR="00FC693F" w:rsidRPr="0006063C" w:rsidSect="00034616">
      <w:headerReference w:type="default" r:id="rId9"/>
      <w:footerReference w:type="default" r:id="rId10"/>
      <w:pgSz w:w="12240" w:h="15840"/>
      <w:pgMar w:top="850" w:right="1134" w:bottom="85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ans CJK SC"/>
        <w:sz w:val="18"/>
      </w:rPr>
      <w:t xml:space="preserve">第 </w:t>
      <w:fldChar w:fldCharType="begin"/>
      <w:instrText xml:space="preserve">PAGE</w:instrText>
      <w:fldChar w:fldCharType="end"/>
    </w:r>
    <w:r>
      <w:rPr>
        <w:rFonts w:ascii="Times New Roman" w:hAnsi="Times New Roman" w:eastAsia="Noto Sans CJK SC"/>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Noto Sans CJK SC"/>
        <w:color w:val="5A5A5A"/>
        <w:sz w:val="17"/>
      </w:rPr>
      <w:t>研究方案 | UAV真实遥测异常检测与子系统诊断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pPr>
    <w:rPr>
      <w:rFonts w:ascii="Times New Roman" w:hAnsi="Times New Roman"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Noto Sans CJK SC"/>
      <w:sz w:val="20"/>
    </w:rPr>
  </w:style>
  <w:style w:type="paragraph" w:styleId="ListBullet2">
    <w:name w:val="List Bullet 2"/>
    <w:basedOn w:val="Normal"/>
    <w:uiPriority w:val="99"/>
    <w:unhideWhenUsed/>
    <w:rsid w:val="00326F90"/>
    <w:pPr>
      <w:numPr>
        <w:numId w:val="2"/>
      </w:numPr>
      <w:contextualSpacing/>
    </w:pPr>
    <w:rPr>
      <w:rFonts w:ascii="Times New Roman" w:hAnsi="Times New Roman" w:eastAsia="Noto Sans CJK S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Noto Sans CJK S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rPr>
      <w:rFonts w:ascii="Times New Roman" w:hAnsi="Times New Roman" w:eastAsia="Noto Sans CJK S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面向真实无人机遥测的可解释层次化异常检测与子系统诊断研究方案</dc:title>
  <dc:subject>UAV telemetry anomaly detection and subsystem diagnosis research plan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