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Guida mappe e indici</w:t>
        <w:br/>
        <w:t>Zona AGESCI Varese</w:t>
      </w:r>
    </w:p>
    <w:p>
      <w:pPr>
        <w:jc w:val="center"/>
      </w:pPr>
      <w:r>
        <w:rPr>
          <w:b/>
        </w:rPr>
        <w:t>Versione web_map v1.1</w:t>
      </w:r>
    </w:p>
    <w:p>
      <w:pPr>
        <w:jc w:val="center"/>
      </w:pPr>
      <w:r>
        <w:t>Documento di accompagnamento alla web map esagonale della Zona AGESCI Varese. Questa guida descrive sinteticamente cosa rappresentano le mappe, come leggere i principali indicatori e quali modifiche sono state introdotte nella versione 1.1.</w:t>
      </w:r>
    </w:p>
    <w:p>
      <w:pPr>
        <w:pStyle w:val="Heading1"/>
      </w:pPr>
      <w:r>
        <w:t>1. Cosa mostra la web map</w:t>
      </w:r>
    </w:p>
    <w:p>
      <w:r>
        <w:t>La mappa divide il territorio in esagoni regolari e attribuisce a ciascuno un profilo educativo-territoriale costruito a partire da dati censuari, stime dasimetriche e localizzazione delle sedi scout AGESCI presenti nella Zona Varese.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DD9C4"/>
          </w:tcPr>
          <w:p>
            <w:r>
              <w:t>Elemento</w:t>
            </w:r>
          </w:p>
        </w:tc>
        <w:tc>
          <w:tcPr>
            <w:tcW w:type="dxa" w:w="5040"/>
            <w:shd w:fill="DDD9C4"/>
          </w:tcPr>
          <w:p>
            <w:r>
              <w:t>Descrizione</w:t>
            </w:r>
          </w:p>
        </w:tc>
      </w:tr>
      <w:tr>
        <w:tc>
          <w:tcPr>
            <w:tcW w:type="dxa" w:w="5040"/>
          </w:tcPr>
          <w:p>
            <w:r>
              <w:t>Unità di analisi</w:t>
            </w:r>
          </w:p>
        </w:tc>
        <w:tc>
          <w:tcPr>
            <w:tcW w:type="dxa" w:w="5040"/>
          </w:tcPr>
          <w:p>
            <w:r>
              <w:t>Esagoni regolari</w:t>
            </w:r>
          </w:p>
        </w:tc>
      </w:tr>
      <w:tr>
        <w:tc>
          <w:tcPr>
            <w:tcW w:type="dxa" w:w="5040"/>
          </w:tcPr>
          <w:p>
            <w:r>
              <w:t>Lettura principale</w:t>
            </w:r>
          </w:p>
        </w:tc>
        <w:tc>
          <w:tcPr>
            <w:tcW w:type="dxa" w:w="5040"/>
          </w:tcPr>
          <w:p>
            <w:r>
              <w:t>Classi interpretative, indici sintetici e componenti singole</w:t>
            </w:r>
          </w:p>
        </w:tc>
      </w:tr>
      <w:tr>
        <w:tc>
          <w:tcPr>
            <w:tcW w:type="dxa" w:w="5040"/>
          </w:tcPr>
          <w:p>
            <w:r>
              <w:t>Livello d’uso</w:t>
            </w:r>
          </w:p>
        </w:tc>
        <w:tc>
          <w:tcPr>
            <w:tcW w:type="dxa" w:w="5040"/>
          </w:tcPr>
          <w:p>
            <w:r>
              <w:t>Esplorativo e orientativo, non certificativo</w:t>
            </w:r>
          </w:p>
        </w:tc>
      </w:tr>
      <w:tr>
        <w:tc>
          <w:tcPr>
            <w:tcW w:type="dxa" w:w="5040"/>
          </w:tcPr>
          <w:p>
            <w:r>
              <w:t>Scala consigliata</w:t>
            </w:r>
          </w:p>
        </w:tc>
        <w:tc>
          <w:tcPr>
            <w:tcW w:type="dxa" w:w="5040"/>
          </w:tcPr>
          <w:p>
            <w:r>
              <w:t>Lettura comparativa tra aree e quartieri, non interpretazione del singolo edificio</w:t>
            </w:r>
          </w:p>
        </w:tc>
      </w:tr>
    </w:tbl>
    <w:p>
      <w:pPr>
        <w:pStyle w:val="Heading1"/>
      </w:pPr>
      <w:r>
        <w:t>2. Indicatori principali</w:t>
      </w:r>
    </w:p>
    <w:p>
      <w:r>
        <w:t>La web map combina due famiglie di indicatori: fragilità educativa e bacino scout territoriale. I singoli indicatori sono normalizzati in una scala relativa (rank 0-100) quando servono alla composizione degli indici sintetici.</w:t>
      </w:r>
    </w:p>
    <w:p>
      <w:pPr>
        <w:pStyle w:val="Heading2"/>
      </w:pPr>
      <w:r>
        <w:t>Fragilità educativa</w:t>
      </w:r>
    </w:p>
    <w:p>
      <w:pPr>
        <w:pStyle w:val="ListBullet"/>
      </w:pPr>
      <w:r>
        <w:t>Quota stranieri 0-14: quota di residenti stranieri 0-14 sul totale dei residenti 0-14. Non indica fragilità in sé; segnala possibili temi di inclusione e accesso alle opportunità educative.</w:t>
      </w:r>
    </w:p>
    <w:p>
      <w:pPr>
        <w:pStyle w:val="ListBullet"/>
      </w:pPr>
      <w:r>
        <w:t>Basso titolo di studio: quota di popolazione adulta con titolo di studio basso, usata come proxy del contesto socio-culturale territoriale.</w:t>
      </w:r>
    </w:p>
    <w:p>
      <w:pPr>
        <w:pStyle w:val="ListBullet"/>
      </w:pPr>
      <w:r>
        <w:t>Famiglie numerose: quota di famiglie con molti componenti sul totale delle famiglie residenti.</w:t>
      </w:r>
    </w:p>
    <w:p>
      <w:pPr>
        <w:pStyle w:val="ListBullet"/>
      </w:pPr>
      <w:r>
        <w:t>Residenti per abitazione: numero medio di residenti per abitazione occupata, usato come proxy di pressione/intensità abitativa.</w:t>
      </w:r>
    </w:p>
    <w:p>
      <w:pPr>
        <w:pStyle w:val="Heading2"/>
      </w:pPr>
      <w:r>
        <w:t>Bacino scout territoriale</w:t>
      </w:r>
    </w:p>
    <w:p>
      <w:pPr>
        <w:pStyle w:val="ListBullet"/>
      </w:pPr>
      <w:r>
        <w:t>Bacino scout proxy: numero stimato di bambini e ragazzi nelle età più vicine all’esperienza scout.</w:t>
      </w:r>
    </w:p>
    <w:p>
      <w:pPr>
        <w:pStyle w:val="ListBullet"/>
      </w:pPr>
      <w:r>
        <w:t>Quota scout proxy: peso relativo del bacino scout sulla popolazione totale dell’esagono.</w:t>
      </w:r>
    </w:p>
    <w:p>
      <w:pPr>
        <w:pStyle w:val="ListBullet"/>
      </w:pPr>
      <w:r>
        <w:t>Densità scout potenziale: concentrazione territoriale del bacino scout.</w:t>
      </w:r>
    </w:p>
    <w:p>
      <w:pPr>
        <w:pStyle w:val="Heading1"/>
      </w:pPr>
      <w:r>
        <w:t>3. Formule sintetiche</w:t>
      </w:r>
    </w:p>
    <w:p>
      <w:r>
        <w:t>Gli indici originali della mappa derivano da una combinazione pesata di rank normalizzati (0-100):</w:t>
      </w:r>
    </w:p>
    <w:p>
      <w:pPr>
        <w:pStyle w:val="ListBullet"/>
      </w:pPr>
      <w:r>
        <w:t>Indice bacino scout territoriale = 10% rank_bacino_scout + 40% rank_quota_scout + 50% rank_dens_scout.</w:t>
      </w:r>
    </w:p>
    <w:p>
      <w:pPr>
        <w:pStyle w:val="ListBullet"/>
      </w:pPr>
      <w:r>
        <w:t>Indice fragilità educativa = 30% quota stranieri 0-14 + 30% basso titolo di studio + 20% famiglie numerose + 20% residenti per abitazione.</w:t>
      </w:r>
    </w:p>
    <w:p>
      <w:pPr>
        <w:pStyle w:val="ListBullet"/>
      </w:pPr>
      <w:r>
        <w:t>Indice priorità educativa scout = 50% indice scout territoriale + 50% indice fragilità educativa.</w:t>
      </w:r>
    </w:p>
    <w:p>
      <w:r>
        <w:t>Nella web map l’utente può modificare i pesi per un’esplorazione dinamica. I cursori non sostituiscono il modello originario: servono a una lettura di sensibilità.</w:t>
      </w:r>
    </w:p>
    <w:p>
      <w:pPr>
        <w:pStyle w:val="Heading1"/>
      </w:pPr>
      <w:r>
        <w:t>4. Cosa cambia nella versione 1.1</w:t>
      </w:r>
    </w:p>
    <w:p>
      <w:pPr>
        <w:pStyle w:val="ListBullet"/>
      </w:pPr>
      <w:r>
        <w:t>Visualizzazione della versione direttamente nella web map (Versione web_map v1.1).</w:t>
      </w:r>
    </w:p>
    <w:p>
      <w:pPr>
        <w:pStyle w:val="ListBullet"/>
      </w:pPr>
      <w:r>
        <w:t>Aggiunta della vista “Stranieri 0-14, numero stimato”, accanto alla vista relativa “Quota stranieri 0-14, celle significative”.</w:t>
      </w:r>
    </w:p>
    <w:p>
      <w:pPr>
        <w:pStyle w:val="ListBullet"/>
      </w:pPr>
      <w:r>
        <w:t>Riallineamento del file dati servito dalla web map al file completo degli output, per evitare falsi hotspot negli indicatori relativi.</w:t>
      </w:r>
    </w:p>
    <w:p>
      <w:pPr>
        <w:pStyle w:val="ListBullet"/>
      </w:pPr>
      <w:r>
        <w:t>Introduzione di un filtro di significatività per la quota stranieri 0-14 nella visualizzazione della web map.</w:t>
      </w:r>
    </w:p>
    <w:p>
      <w:pPr>
        <w:pStyle w:val="ListBullet"/>
      </w:pPr>
      <w:r>
        <w:t>Aggiunta dei gruppi AGESCI di zone vicine con check dedicato in legenda.</w:t>
      </w:r>
    </w:p>
    <w:p>
      <w:pPr>
        <w:pStyle w:val="ListBullet"/>
      </w:pPr>
      <w:r>
        <w:t>Possibilità di attivare/disattivare dalla legenda: esagoni, top 5, gruppi scout della Zona Varese e gruppi scout di zone vicine.</w:t>
      </w:r>
    </w:p>
    <w:p>
      <w:pPr>
        <w:pStyle w:val="Heading1"/>
      </w:pPr>
      <w:r>
        <w:t>5. Nuovi gruppi scout visualizzati nella mappa</w:t>
      </w:r>
    </w:p>
    <w:p>
      <w:r>
        <w:t>La versione 1.1 aggiunge alcuni gruppi AGESCI delle Zone Ticino-Olona e SoLCo ritenuti territorialmente più vicini alla Zona Varese. Gli indirizzi sono stati presi esclusivamente dalle rispettive pagine ufficiali di Agesci Lombardia. Nella mappa il posizionamento è indicativo a partire dagli indirizzi pubblicati e serve come riferimento di prossimità territoriale, non come geolocalizzazione catastale puntuale.</w:t>
      </w:r>
    </w:p>
    <w:p>
      <w:pPr>
        <w:pStyle w:val="Heading2"/>
      </w:pPr>
      <w:r>
        <w:t>Zona Ticino-Olona</w:t>
      </w:r>
    </w:p>
    <w:p>
      <w:pPr>
        <w:pStyle w:val="ListBullet"/>
      </w:pPr>
      <w:r>
        <w:t>Busto Arsizio 1 — Via Antonio Pozzi 11, Busto Arsizio.</w:t>
      </w:r>
    </w:p>
    <w:p>
      <w:pPr>
        <w:pStyle w:val="ListBullet"/>
      </w:pPr>
      <w:r>
        <w:t>Busto Arsizio 3 — Via Pepe 3, Busto Arsizio.</w:t>
      </w:r>
    </w:p>
    <w:p>
      <w:pPr>
        <w:pStyle w:val="ListBullet"/>
      </w:pPr>
      <w:r>
        <w:t>Busto Arsizio 5 — Via S. Liberata 11/A, Busto Arsizio.</w:t>
      </w:r>
    </w:p>
    <w:p>
      <w:pPr>
        <w:pStyle w:val="ListBullet"/>
      </w:pPr>
      <w:r>
        <w:t>Castano Primo 1 — Via Corio 1, Castano Primo.</w:t>
      </w:r>
    </w:p>
    <w:p>
      <w:pPr>
        <w:pStyle w:val="ListBullet"/>
      </w:pPr>
      <w:r>
        <w:t>Saronno 1 — Via Biffi 7, Saronno.</w:t>
      </w:r>
    </w:p>
    <w:p>
      <w:pPr>
        <w:pStyle w:val="ListBullet"/>
      </w:pPr>
      <w:r>
        <w:t>Valle Olona 1 — Via Andriani 1, Olgiate Olona.</w:t>
      </w:r>
    </w:p>
    <w:p>
      <w:pPr>
        <w:pStyle w:val="Heading2"/>
      </w:pPr>
      <w:r>
        <w:t>Zona SoLCo</w:t>
      </w:r>
    </w:p>
    <w:p>
      <w:pPr>
        <w:pStyle w:val="ListBullet"/>
      </w:pPr>
      <w:r>
        <w:t>Como 1 — Via Volta 16, Como.</w:t>
      </w:r>
    </w:p>
    <w:p>
      <w:pPr>
        <w:pStyle w:val="ListBullet"/>
      </w:pPr>
      <w:r>
        <w:t>Como 3 — Via D’Annunzio 46/C, Como.</w:t>
      </w:r>
    </w:p>
    <w:p>
      <w:pPr>
        <w:pStyle w:val="ListBullet"/>
      </w:pPr>
      <w:r>
        <w:t>Como 45 — Via M. Colonna 14, Como.</w:t>
      </w:r>
    </w:p>
    <w:p>
      <w:pPr>
        <w:pStyle w:val="ListBullet"/>
      </w:pPr>
      <w:r>
        <w:t>Cantù 1 — Via Dalmazia 2, Cantù.</w:t>
      </w:r>
    </w:p>
    <w:p>
      <w:pPr>
        <w:pStyle w:val="ListBullet"/>
      </w:pPr>
      <w:r>
        <w:t>Mariano 1 — Via Santo Stefano 46, Mariano Comense.</w:t>
      </w:r>
    </w:p>
    <w:p>
      <w:pPr>
        <w:pStyle w:val="Heading1"/>
      </w:pPr>
      <w:r>
        <w:t>6. Lettura prudente degli indicatori</w:t>
      </w:r>
    </w:p>
    <w:p>
      <w:r>
        <w:t>Il lavoro di audit svolto sulla web map ha mostrato che gli indicatori sintetici principali risultano robusti, ma che alcune mappe tematiche basate su quote possono generare letture fuorvianti se riferite a celle con popolazione molto bassa. Per questo nella versione 1.1:</w:t>
      </w:r>
    </w:p>
    <w:p>
      <w:pPr>
        <w:pStyle w:val="ListBullet"/>
      </w:pPr>
      <w:r>
        <w:t>gli indicatori relativi vengono mostrati con maggiore prudenza;</w:t>
      </w:r>
    </w:p>
    <w:p>
      <w:pPr>
        <w:pStyle w:val="ListBullet"/>
      </w:pPr>
      <w:r>
        <w:t>la quota stranieri 0-14 viene filtrata nelle celle non significative;</w:t>
      </w:r>
    </w:p>
    <w:p>
      <w:pPr>
        <w:pStyle w:val="ListBullet"/>
      </w:pPr>
      <w:r>
        <w:t>la nuova mappa degli stranieri 0-14 in valore assoluto permette una lettura più territoriale e meno instabile dei piccoli numeri.</w:t>
      </w:r>
    </w:p>
    <w:p>
      <w:pPr>
        <w:pStyle w:val="Heading1"/>
      </w:pPr>
      <w:r>
        <w:t>7. Uso consigliato</w:t>
      </w:r>
    </w:p>
    <w:p>
      <w:pPr>
        <w:pStyle w:val="ListBullet"/>
      </w:pPr>
      <w:r>
        <w:t>Usare le classi interpretative e l’indice di priorità per una lettura sintetica del territorio.</w:t>
      </w:r>
    </w:p>
    <w:p>
      <w:pPr>
        <w:pStyle w:val="ListBullet"/>
      </w:pPr>
      <w:r>
        <w:t>Usare gli indicatori singoli per approfondire il profilo di un’area, non come giudizio isolato.</w:t>
      </w:r>
    </w:p>
    <w:p>
      <w:pPr>
        <w:pStyle w:val="ListBullet"/>
      </w:pPr>
      <w:r>
        <w:t>Usare la vista “Stranieri 0-14, numero stimato” per capire dove esistono concentrazioni numeriche più consistenti.</w:t>
      </w:r>
    </w:p>
    <w:p>
      <w:pPr>
        <w:pStyle w:val="ListBullet"/>
      </w:pPr>
      <w:r>
        <w:t>Usare la vista “Quota stranieri 0-14, celle significative” per leggere il peso relativo dell’indicatore, non il numero assoluto.</w:t>
      </w:r>
    </w:p>
    <w:p>
      <w:pPr>
        <w:pStyle w:val="ListBullet"/>
      </w:pPr>
      <w:r>
        <w:t>Usare i check in legenda per confrontare gli esagoni con il basemap e con le sedi scout esistenti o vicine.</w:t>
      </w:r>
    </w:p>
    <w:p>
      <w:pPr>
        <w:pStyle w:val="Heading1"/>
      </w:pPr>
      <w:r>
        <w:t>8. Versioning</w:t>
      </w:r>
    </w:p>
    <w:p>
      <w:r>
        <w:t>Questa guida fa riferimento alla versione pubblicabile della web map identificata come web_map v1.1.</w:t>
      </w:r>
    </w:p>
    <w:p>
      <w:r>
        <w:t>Fonte indirizzi gruppi esterni: https://lombardia.agesci.it/ticino-olona/ e https://lombardia.agesci.it/zona-como-lecco-sondrio/.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