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DataFrame Export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Total UPDRS-III Model</w:t>
            </w:r>
          </w:p>
        </w:tc>
        <w:tc>
          <w:tcPr>
            <w:tcW w:type="dxa" w:w="1728"/>
          </w:tcPr>
          <w:p>
            <w:r>
              <w:t>Tremor Model</w:t>
            </w:r>
          </w:p>
        </w:tc>
        <w:tc>
          <w:tcPr>
            <w:tcW w:type="dxa" w:w="1728"/>
          </w:tcPr>
          <w:p>
            <w:r>
              <w:t>Axial Model</w:t>
            </w:r>
          </w:p>
        </w:tc>
        <w:tc>
          <w:tcPr>
            <w:tcW w:type="dxa" w:w="1728"/>
          </w:tcPr>
          <w:p>
            <w:r>
              <w:t>Bradykinesia + rigidity Model</w:t>
            </w:r>
          </w:p>
        </w:tc>
      </w:tr>
      <w:tr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Sex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Disease duration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Impulse control disorder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Days between screening and follow up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 Levodopa Equivalent Dose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 UPDRS-I score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 UPDRS-II ON score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Total UPDRS-III OFF score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Total bradykinesia + rigidity OFF score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 tremor OFF score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Axial OFF score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Total bradykinesia + rigidity ON score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Total UPDRS-III ON score</w:t>
            </w:r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 tremor ON score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Axial ON score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% UPDRS-III improvement after dopamine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% Total bradykinesia + rigidity improvement after dopamine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% Total tremor improvement after dopamine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% Axial improvement after dopamine (UPDRS-III subscore)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Total preoperative UPDRS-IV score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% of waking day dyskinesias present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% of waking day OFF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% of OFF time with dystonia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AS score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X</w:t>
            </w:r>
          </w:p>
        </w:tc>
      </w:tr>
      <w:tr>
        <w:tc>
          <w:tcPr>
            <w:tcW w:type="dxa" w:w="1728"/>
          </w:tcPr>
          <w:p>
            <w:r>
              <w:t>PDQ-39 score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