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Control Sequence</w:t>
      </w:r>
    </w:p>
    <w:p>
      <w:pPr>
        <w:pStyle w:val="BodyText"/>
      </w:pPr>
      <w:r>
        <w:t xml:space="preserve"> </w:t>
      </w:r>
    </w:p>
    <w:bookmarkStart w:id="26" w:name="setpoints-design-and-field-determined"/>
    <w:p>
      <w:pPr>
        <w:pStyle w:val="Heading2"/>
      </w:pPr>
      <w:r>
        <w:t xml:space="preserve">3</w:t>
      </w:r>
      <w:r>
        <w:t xml:space="preserve"> </w:t>
      </w:r>
      <w:bookmarkStart w:id="20" w:name="anchor"/>
      <w:bookmarkEnd w:id="20"/>
      <w:r>
        <w:t xml:space="preserve">SETPOINTS, DESIGN and FIELD DETERMINED</w:t>
      </w:r>
      <w:r>
        <w:t xml:space="preserve"> </w:t>
      </w:r>
    </w:p>
    <w:p>
      <w:pPr>
        <w:pStyle w:val="FirstParagraph"/>
      </w:pPr>
      <w:r>
        <w:t xml:space="preserve"> </w:t>
      </w:r>
    </w:p>
    <w:bookmarkStart w:id="25" w:name="information-provided-by-designer"/>
    <w:p>
      <w:pPr>
        <w:pStyle w:val="Heading3"/>
      </w:pPr>
      <w:r>
        <w:t xml:space="preserve">3.1</w:t>
      </w:r>
      <w:r>
        <w:t xml:space="preserve"> </w:t>
      </w:r>
      <w:bookmarkStart w:id="21" w:name="anchor-1"/>
      <w:bookmarkEnd w:id="21"/>
      <w:r>
        <w:t xml:space="preserve">Information Provided by Designer</w:t>
      </w:r>
    </w:p>
    <w:p>
      <w:pPr>
        <w:pStyle w:val="FirstParagraph"/>
      </w:pPr>
      <w:r>
        <w:t xml:space="preserve"> </w:t>
      </w:r>
    </w:p>
    <w:bookmarkStart w:id="24" w:name="vav-box-design-information"/>
    <w:p>
      <w:pPr>
        <w:pStyle w:val="Heading4"/>
      </w:pPr>
      <w:r>
        <w:t xml:space="preserve">3.1.2</w:t>
      </w:r>
      <w:r>
        <w:t xml:space="preserve"> </w:t>
      </w:r>
      <w:bookmarkStart w:id="22" w:name="anchor-2"/>
      <w:bookmarkEnd w:id="22"/>
      <w:r>
        <w:t xml:space="preserve">VAV Box Design Information</w:t>
      </w:r>
    </w:p>
    <w:p>
      <w:pPr>
        <w:pStyle w:val="FirstParagraph"/>
      </w:pPr>
      <w:r>
        <w:t xml:space="preserve"> </w:t>
      </w:r>
      <w:bookmarkStart w:id="23" w:name="anchor-3"/>
      <w:bookmarkEnd w:id="23"/>
      <w:r>
        <w:rPr>
          <w:bCs/>
          <w:b/>
        </w:rPr>
        <w:t xml:space="preserve">VAV Cooling-Only Terminal Unit</w:t>
      </w:r>
      <w:r>
        <w:t xml:space="preserve"> </w:t>
      </w:r>
    </w:p>
    <w:p>
      <w:pPr>
        <w:pStyle w:val="BodyText"/>
      </w:pPr>
      <w:r>
        <w:t xml:space="preserve"> </w:t>
      </w:r>
    </w:p>
    <w:bookmarkEnd w:id="24"/>
    <w:bookmarkEnd w:id="25"/>
    <w:bookmarkEnd w:id="26"/>
    <w:bookmarkStart w:id="42" w:name="sequences-of-operations"/>
    <w:p>
      <w:pPr>
        <w:pStyle w:val="Heading2"/>
      </w:pPr>
      <w:r>
        <w:t xml:space="preserve">5</w:t>
      </w:r>
      <w:r>
        <w:t xml:space="preserve"> </w:t>
      </w:r>
      <w:bookmarkStart w:id="27" w:name="anchor-4"/>
      <w:bookmarkEnd w:id="27"/>
      <w:r>
        <w:t xml:space="preserve">SEQUENCES OF OPERATIONS</w:t>
      </w:r>
    </w:p>
    <w:p>
      <w:pPr>
        <w:pStyle w:val="FirstParagraph"/>
      </w:pPr>
      <w:r>
        <w:t xml:space="preserve"> </w:t>
      </w:r>
    </w:p>
    <w:bookmarkStart w:id="29" w:name="generic-ventilation-zones"/>
    <w:p>
      <w:pPr>
        <w:pStyle w:val="Heading3"/>
      </w:pPr>
      <w:r>
        <w:t xml:space="preserve">5.2</w:t>
      </w:r>
      <w:r>
        <w:t xml:space="preserve"> </w:t>
      </w:r>
      <w:bookmarkStart w:id="28" w:name="anchor-5"/>
      <w:bookmarkEnd w:id="28"/>
      <w:r>
        <w:t xml:space="preserve">Generic Ventilation Zones</w:t>
      </w:r>
    </w:p>
    <w:p>
      <w:pPr>
        <w:pStyle w:val="FirstParagraph"/>
      </w:pPr>
      <w:r>
        <w:t xml:space="preserve"> </w:t>
      </w:r>
    </w:p>
    <w:bookmarkEnd w:id="29"/>
    <w:bookmarkStart w:id="31" w:name="generic-thermal-zones"/>
    <w:p>
      <w:pPr>
        <w:pStyle w:val="Heading3"/>
      </w:pPr>
      <w:r>
        <w:t xml:space="preserve">5.3</w:t>
      </w:r>
      <w:r>
        <w:t xml:space="preserve"> </w:t>
      </w:r>
      <w:bookmarkStart w:id="30" w:name="anchor-6"/>
      <w:bookmarkEnd w:id="30"/>
      <w:r>
        <w:t xml:space="preserve">Generic Thermal Zones</w:t>
      </w:r>
    </w:p>
    <w:p>
      <w:pPr>
        <w:pStyle w:val="FirstParagraph"/>
      </w:pPr>
      <w:r>
        <w:t xml:space="preserve"> </w:t>
      </w:r>
    </w:p>
    <w:bookmarkEnd w:id="31"/>
    <w:bookmarkStart w:id="41" w:name="vav-terminal-unitcooling-only"/>
    <w:p>
      <w:pPr>
        <w:pStyle w:val="Heading3"/>
      </w:pPr>
      <w:r>
        <w:t xml:space="preserve">5.5</w:t>
      </w:r>
      <w:r>
        <w:t xml:space="preserve"> </w:t>
      </w:r>
      <w:bookmarkStart w:id="32" w:name="anchor-7"/>
      <w:bookmarkEnd w:id="32"/>
      <w:r>
        <w:t xml:space="preserve">VAV Terminal Unit—Cooling Only</w:t>
      </w:r>
    </w:p>
    <w:p>
      <w:pPr>
        <w:pStyle w:val="FirstParagraph"/>
      </w:pPr>
      <w:r>
        <w:t xml:space="preserve"> </w:t>
      </w:r>
    </w:p>
    <w:bookmarkStart w:id="34" w:name="X693c9457cc270cf50c6fcfdebb6785deb0b515f"/>
    <w:p>
      <w:pPr>
        <w:pStyle w:val="Heading4"/>
      </w:pPr>
      <w:r>
        <w:t xml:space="preserve">5.5.1</w:t>
      </w:r>
      <w:r>
        <w:t xml:space="preserve"> </w:t>
      </w:r>
      <w:bookmarkStart w:id="33" w:name="anchor-8"/>
      <w:bookmarkEnd w:id="33"/>
      <w:r>
        <w:t xml:space="preserve">See “Generic Thermal Zones” (Section 5.3) for setpoints, loops, control</w:t>
      </w:r>
      <w:r>
        <w:t xml:space="preserve"> </w:t>
      </w:r>
      <w:r>
        <w:t xml:space="preserve">modes, alarms, etc.</w:t>
      </w:r>
    </w:p>
    <w:p>
      <w:pPr>
        <w:pStyle w:val="FirstParagraph"/>
      </w:pPr>
      <w:r>
        <w:t xml:space="preserve"> </w:t>
      </w:r>
    </w:p>
    <w:bookmarkEnd w:id="34"/>
    <w:bookmarkStart w:id="36" w:name="X407b5b1394ccffe74eaa437cffd63b757ecf797"/>
    <w:p>
      <w:pPr>
        <w:pStyle w:val="Heading4"/>
      </w:pPr>
      <w:r>
        <w:t xml:space="preserve">5.5.2</w:t>
      </w:r>
      <w:r>
        <w:t xml:space="preserve"> </w:t>
      </w:r>
      <w:bookmarkStart w:id="35" w:name="anchor-9"/>
      <w:bookmarkEnd w:id="35"/>
      <w:r>
        <w:t xml:space="preserve">See “Generic Ventilation Zones” (Section 5.2) for calculation of zone</w:t>
      </w:r>
      <w:r>
        <w:t xml:space="preserve"> </w:t>
      </w:r>
      <w:r>
        <w:t xml:space="preserve">minimum outdoor airflow.</w:t>
      </w:r>
    </w:p>
    <w:p>
      <w:pPr>
        <w:pStyle w:val="FirstParagraph"/>
      </w:pPr>
      <w:r>
        <w:t xml:space="preserve">CO2 DCV for cooling-only zones can lead to overcooling due to the faster</w:t>
      </w:r>
      <w:r>
        <w:t xml:space="preserve"> </w:t>
      </w:r>
      <w:r>
        <w:t xml:space="preserve">rise in CO2 levels from people in the room versus the increase in cooling</w:t>
      </w:r>
      <w:r>
        <w:t xml:space="preserve"> </w:t>
      </w:r>
      <w:r>
        <w:t xml:space="preserve">loads from people. Including heat in all zones with CO2 DCV is therefore</w:t>
      </w:r>
      <w:r>
        <w:t xml:space="preserve"> </w:t>
      </w:r>
      <w:r>
        <w:t xml:space="preserve">recommended.</w:t>
      </w:r>
      <w:r>
        <w:t xml:space="preserve"> </w:t>
      </w:r>
    </w:p>
    <w:p>
      <w:pPr>
        <w:pStyle w:val="BodyText"/>
      </w:pPr>
      <w:r>
        <w:t xml:space="preserve"> </w:t>
      </w:r>
    </w:p>
    <w:bookmarkEnd w:id="36"/>
    <w:bookmarkStart w:id="38" w:name="X2ec8361120b11081cbb4add94fc86cff69ec466"/>
    <w:p>
      <w:pPr>
        <w:pStyle w:val="Heading4"/>
      </w:pPr>
      <w:r>
        <w:t xml:space="preserve">5.5.3</w:t>
      </w:r>
      <w:r>
        <w:t xml:space="preserve"> </w:t>
      </w:r>
      <w:bookmarkStart w:id="37" w:name="anchor-10"/>
      <w:bookmarkEnd w:id="37"/>
      <w:r>
        <w:t xml:space="preserve">See Section 3.1.2.1 for zone minimum airflow setpoint Vmin, zone</w:t>
      </w:r>
      <w:r>
        <w:t xml:space="preserve"> </w:t>
      </w:r>
      <w:r>
        <w:t xml:space="preserve">maximum cooling airflow setpoint Vcool-max, and zone maximum heating airflow</w:t>
      </w:r>
      <w:r>
        <w:t xml:space="preserve"> </w:t>
      </w:r>
      <w:r>
        <w:t xml:space="preserve">setpoint Vheat-max.</w:t>
      </w:r>
    </w:p>
    <w:p>
      <w:pPr>
        <w:pStyle w:val="FirstParagraph"/>
      </w:pPr>
      <w:r>
        <w:t xml:space="preserve">If the minimum ventilation rate is more than 25% or so of the cooling maximum, or</w:t>
      </w:r>
      <w:r>
        <w:t xml:space="preserve"> </w:t>
      </w:r>
      <w:r>
        <w:t xml:space="preserve">DCV is used, a reheat box is recommended to avoid overcooling. DCV logic is not</w:t>
      </w:r>
      <w:r>
        <w:t xml:space="preserve"> </w:t>
      </w:r>
      <w:r>
        <w:t xml:space="preserve">provided for cooling-only boxes, because doing so results in periods of overcooling, as</w:t>
      </w:r>
      <w:r>
        <w:t xml:space="preserve"> </w:t>
      </w:r>
      <w:r>
        <w:t xml:space="preserve">the CO2 levels due to occupants rises much faster than the cooling load due to</w:t>
      </w:r>
      <w:r>
        <w:t xml:space="preserve"> </w:t>
      </w:r>
      <w:r>
        <w:t xml:space="preserve">occupants because of thermal mass.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Cooling-only terminal units can provide heating only when the AHU supply air</w:t>
      </w:r>
      <w:r>
        <w:t xml:space="preserve"> </w:t>
      </w:r>
      <w:r>
        <w:t xml:space="preserve">temperature is more than 3°C (5°F) above the room temperature.</w:t>
      </w:r>
      <w:r>
        <w:t xml:space="preserve"> </w:t>
      </w:r>
    </w:p>
    <w:p>
      <w:pPr>
        <w:pStyle w:val="BodyText"/>
      </w:pPr>
      <w:r>
        <w:t xml:space="preserve"> </w:t>
      </w:r>
    </w:p>
    <w:bookmarkEnd w:id="38"/>
    <w:bookmarkStart w:id="40" w:name="X1f65d38e135224c21934d5743756c0ca70e2d23"/>
    <w:p>
      <w:pPr>
        <w:pStyle w:val="Heading4"/>
      </w:pPr>
      <w:r>
        <w:t xml:space="preserve">5.5.4</w:t>
      </w:r>
      <w:r>
        <w:t xml:space="preserve"> </w:t>
      </w:r>
      <w:bookmarkStart w:id="39" w:name="anchor-11"/>
      <w:bookmarkEnd w:id="39"/>
      <w:r>
        <w:t xml:space="preserve">Active endpoints used in the control logic depicted in Figure 5.5.5 shall</w:t>
      </w:r>
      <w:r>
        <w:t xml:space="preserve"> </w:t>
      </w:r>
      <w:r>
        <w:t xml:space="preserve">vary depending on the mode of the Zone Group the zone is a part of (see Table</w:t>
      </w:r>
      <w:r>
        <w:t xml:space="preserve"> </w:t>
      </w:r>
      <w:r>
        <w:t xml:space="preserve">5.5.4).</w:t>
      </w:r>
    </w:p>
    <w:p>
      <w:pPr>
        <w:pStyle w:val="FirstParagraph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Endpoint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Occupied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Cooldown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Setup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Warmup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Setback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Unoccupied</w:t>
            </w:r>
          </w:p>
        </w:tc>
      </w:tr>
      <w:tr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Cooling maximum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Vcool-max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Vcool-max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Vcool-max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0</w:t>
            </w:r>
            <w:r>
              <w:t xml:space="preserve"> </w:t>
            </w:r>
          </w:p>
        </w:tc>
      </w:tr>
      <w:tr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Minimum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Vmin*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0</w:t>
            </w:r>
            <w:r>
              <w:t xml:space="preserve"> </w:t>
            </w:r>
          </w:p>
        </w:tc>
      </w:tr>
      <w:tr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Heating maximum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Vheat-max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Vcool-max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Vcool-max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0</w:t>
            </w:r>
            <w:r>
              <w:t xml:space="preserve"> </w:t>
            </w:r>
          </w:p>
        </w:tc>
      </w:tr>
    </w:tbl>
    <w:p>
      <w:pPr>
        <w:pStyle w:val="BodyText"/>
      </w:pPr>
      <w:r>
        <w:t xml:space="preserve"> </w:t>
      </w:r>
      <w:r>
        <w:t xml:space="preserve">Type of return fan: Single fan - Constant speed</w:t>
      </w:r>
      <w:r>
        <w:t xml:space="preserve"> 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2022-07-25T17:48:18Z</dcterms:created>
  <dcterms:modified xsi:type="dcterms:W3CDTF">2022-07-25T17:48:18Z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