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984B6" w14:textId="1C4BDAA8" w:rsidR="0071312A" w:rsidRPr="00E84DE2" w:rsidRDefault="00327025" w:rsidP="00E84DE2">
      <w:pPr>
        <w:pStyle w:val="NormalWeb"/>
        <w:shd w:val="clear" w:color="auto" w:fill="FFFFFF"/>
        <w:spacing w:before="0" w:beforeAutospacing="0" w:after="0" w:afterAutospacing="0"/>
        <w:jc w:val="center"/>
        <w:rPr>
          <w:b/>
          <w:bCs/>
          <w:color w:val="000000"/>
          <w:sz w:val="28"/>
          <w:szCs w:val="28"/>
          <w:bdr w:val="none" w:sz="0" w:space="0" w:color="auto" w:frame="1"/>
        </w:rPr>
      </w:pPr>
      <w:r w:rsidRPr="00A15F91">
        <w:rPr>
          <w:b/>
          <w:bCs/>
          <w:color w:val="000000"/>
          <w:sz w:val="28"/>
          <w:szCs w:val="28"/>
          <w:bdr w:val="none" w:sz="0" w:space="0" w:color="auto" w:frame="1"/>
        </w:rPr>
        <w:t>Foreclosure</w:t>
      </w:r>
      <w:r w:rsidR="0071312A" w:rsidRPr="00A15F91">
        <w:rPr>
          <w:b/>
          <w:bCs/>
          <w:color w:val="000000"/>
          <w:sz w:val="28"/>
          <w:szCs w:val="28"/>
          <w:bdr w:val="none" w:sz="0" w:space="0" w:color="auto" w:frame="1"/>
        </w:rPr>
        <w:t xml:space="preserve"> </w:t>
      </w:r>
      <w:r w:rsidR="00D364C6" w:rsidRPr="00A15F91">
        <w:rPr>
          <w:b/>
          <w:bCs/>
          <w:color w:val="000000"/>
          <w:sz w:val="28"/>
          <w:szCs w:val="28"/>
          <w:bdr w:val="none" w:sz="0" w:space="0" w:color="auto" w:frame="1"/>
        </w:rPr>
        <w:t xml:space="preserve">Property </w:t>
      </w:r>
      <w:r w:rsidR="0071312A" w:rsidRPr="00A15F91">
        <w:rPr>
          <w:b/>
          <w:bCs/>
          <w:color w:val="000000"/>
          <w:sz w:val="28"/>
          <w:szCs w:val="28"/>
          <w:bdr w:val="none" w:sz="0" w:space="0" w:color="auto" w:frame="1"/>
        </w:rPr>
        <w:t xml:space="preserve">Patterns </w:t>
      </w:r>
      <w:r w:rsidRPr="00A15F91">
        <w:rPr>
          <w:b/>
          <w:bCs/>
          <w:color w:val="000000"/>
          <w:sz w:val="28"/>
          <w:szCs w:val="28"/>
          <w:bdr w:val="none" w:sz="0" w:space="0" w:color="auto" w:frame="1"/>
        </w:rPr>
        <w:t>in Los Angeles</w:t>
      </w:r>
      <w:r w:rsidR="0079687A">
        <w:rPr>
          <w:b/>
          <w:bCs/>
          <w:color w:val="000000"/>
          <w:sz w:val="28"/>
          <w:szCs w:val="28"/>
          <w:bdr w:val="none" w:sz="0" w:space="0" w:color="auto" w:frame="1"/>
        </w:rPr>
        <w:br/>
      </w:r>
      <w:r w:rsidRPr="00A15F91">
        <w:rPr>
          <w:b/>
          <w:bCs/>
          <w:color w:val="000000"/>
          <w:sz w:val="28"/>
          <w:szCs w:val="28"/>
          <w:bdr w:val="none" w:sz="0" w:space="0" w:color="auto" w:frame="1"/>
        </w:rPr>
        <w:t>County</w:t>
      </w:r>
      <w:r w:rsidR="0079687A">
        <w:rPr>
          <w:b/>
          <w:bCs/>
          <w:color w:val="000000"/>
          <w:sz w:val="28"/>
          <w:szCs w:val="28"/>
          <w:bdr w:val="none" w:sz="0" w:space="0" w:color="auto" w:frame="1"/>
        </w:rPr>
        <w:t xml:space="preserve"> Using SAC</w:t>
      </w:r>
    </w:p>
    <w:p w14:paraId="240CC851" w14:textId="2C09E99C" w:rsidR="0071312A" w:rsidRPr="00A15F91" w:rsidRDefault="0071312A" w:rsidP="0071312A">
      <w:pPr>
        <w:pStyle w:val="NormalWeb"/>
        <w:shd w:val="clear" w:color="auto" w:fill="FFFFFF"/>
        <w:spacing w:before="0" w:beforeAutospacing="0" w:after="0" w:afterAutospacing="0"/>
        <w:jc w:val="center"/>
        <w:rPr>
          <w:color w:val="000000"/>
          <w:sz w:val="22"/>
          <w:szCs w:val="22"/>
          <w:bdr w:val="none" w:sz="0" w:space="0" w:color="auto" w:frame="1"/>
        </w:rPr>
      </w:pPr>
      <w:r w:rsidRPr="00A15F91">
        <w:rPr>
          <w:color w:val="000000"/>
          <w:sz w:val="22"/>
          <w:szCs w:val="22"/>
          <w:bdr w:val="none" w:sz="0" w:space="0" w:color="auto" w:frame="1"/>
        </w:rPr>
        <w:t xml:space="preserve">Authors: </w:t>
      </w:r>
      <w:r w:rsidR="00236B05" w:rsidRPr="00A15F91">
        <w:rPr>
          <w:color w:val="000000"/>
          <w:sz w:val="22"/>
          <w:szCs w:val="22"/>
          <w:bdr w:val="none" w:sz="0" w:space="0" w:color="auto" w:frame="1"/>
        </w:rPr>
        <w:t>Douglas Barrera Ventura, Anasheh Parseghian, Luis G</w:t>
      </w:r>
      <w:r w:rsidRPr="00A15F91">
        <w:rPr>
          <w:color w:val="000000"/>
          <w:sz w:val="22"/>
          <w:szCs w:val="22"/>
          <w:bdr w:val="none" w:sz="0" w:space="0" w:color="auto" w:frame="1"/>
        </w:rPr>
        <w:t xml:space="preserve">. </w:t>
      </w:r>
      <w:r w:rsidR="00236B05" w:rsidRPr="00A15F91">
        <w:rPr>
          <w:color w:val="000000"/>
          <w:sz w:val="22"/>
          <w:szCs w:val="22"/>
          <w:bdr w:val="none" w:sz="0" w:space="0" w:color="auto" w:frame="1"/>
        </w:rPr>
        <w:t>Estrada, Luis A Blanco, Rida Fatima</w:t>
      </w:r>
    </w:p>
    <w:p w14:paraId="025CA795" w14:textId="5945221E" w:rsidR="0071312A" w:rsidRPr="00A15F91" w:rsidRDefault="0071312A" w:rsidP="0071312A">
      <w:pPr>
        <w:pStyle w:val="NormalWeb"/>
        <w:shd w:val="clear" w:color="auto" w:fill="FFFFFF"/>
        <w:spacing w:before="0" w:beforeAutospacing="0" w:after="0" w:afterAutospacing="0"/>
        <w:jc w:val="center"/>
        <w:rPr>
          <w:color w:val="201F1E"/>
          <w:sz w:val="22"/>
          <w:szCs w:val="22"/>
        </w:rPr>
      </w:pPr>
      <w:r w:rsidRPr="00A15F91">
        <w:rPr>
          <w:color w:val="201F1E"/>
          <w:sz w:val="22"/>
          <w:szCs w:val="22"/>
        </w:rPr>
        <w:t>Department of Information Systems, California State University Los Angeles</w:t>
      </w:r>
    </w:p>
    <w:p w14:paraId="4C3AB73C" w14:textId="2D0A7F3C" w:rsidR="0071312A" w:rsidRPr="00A15F91" w:rsidRDefault="0071312A" w:rsidP="0071312A">
      <w:pPr>
        <w:pStyle w:val="NormalWeb"/>
        <w:shd w:val="clear" w:color="auto" w:fill="FFFFFF"/>
        <w:spacing w:before="0" w:beforeAutospacing="0" w:after="0" w:afterAutospacing="0"/>
        <w:jc w:val="center"/>
        <w:rPr>
          <w:color w:val="201F1E"/>
          <w:sz w:val="22"/>
          <w:szCs w:val="22"/>
        </w:rPr>
      </w:pPr>
      <w:r w:rsidRPr="00A15F91">
        <w:rPr>
          <w:color w:val="201F1E"/>
          <w:sz w:val="22"/>
          <w:szCs w:val="22"/>
        </w:rPr>
        <w:t>BUS 5100-93 Intro to Business Analytics</w:t>
      </w:r>
    </w:p>
    <w:p w14:paraId="12CF607B" w14:textId="3CD48307" w:rsidR="0071312A" w:rsidRPr="00A15F91" w:rsidRDefault="00496C95" w:rsidP="0071312A">
      <w:pPr>
        <w:pStyle w:val="NormalWeb"/>
        <w:shd w:val="clear" w:color="auto" w:fill="FFFFFF"/>
        <w:spacing w:before="0" w:beforeAutospacing="0" w:after="0" w:afterAutospacing="0"/>
        <w:jc w:val="center"/>
        <w:rPr>
          <w:color w:val="000000"/>
          <w:sz w:val="22"/>
          <w:szCs w:val="22"/>
          <w:bdr w:val="none" w:sz="0" w:space="0" w:color="auto" w:frame="1"/>
        </w:rPr>
      </w:pPr>
      <w:hyperlink r:id="rId5" w:history="1">
        <w:r w:rsidR="0071312A" w:rsidRPr="00A15F91">
          <w:rPr>
            <w:rStyle w:val="Hyperlink"/>
            <w:sz w:val="22"/>
            <w:szCs w:val="22"/>
            <w:bdr w:val="none" w:sz="0" w:space="0" w:color="auto" w:frame="1"/>
          </w:rPr>
          <w:t>dbarre10@calstatela.edu</w:t>
        </w:r>
      </w:hyperlink>
      <w:r w:rsidR="0071312A" w:rsidRPr="00A15F91">
        <w:rPr>
          <w:color w:val="000000"/>
          <w:sz w:val="22"/>
          <w:szCs w:val="22"/>
          <w:bdr w:val="none" w:sz="0" w:space="0" w:color="auto" w:frame="1"/>
        </w:rPr>
        <w:t xml:space="preserve"> </w:t>
      </w:r>
      <w:hyperlink r:id="rId6" w:history="1">
        <w:r w:rsidR="0071312A" w:rsidRPr="00A15F91">
          <w:rPr>
            <w:rStyle w:val="Hyperlink"/>
            <w:sz w:val="22"/>
            <w:szCs w:val="22"/>
            <w:bdr w:val="none" w:sz="0" w:space="0" w:color="auto" w:frame="1"/>
          </w:rPr>
          <w:t>aparseg2@calstatela.edu</w:t>
        </w:r>
      </w:hyperlink>
      <w:r w:rsidR="0071312A" w:rsidRPr="00A15F91">
        <w:rPr>
          <w:color w:val="000000"/>
          <w:sz w:val="22"/>
          <w:szCs w:val="22"/>
          <w:bdr w:val="none" w:sz="0" w:space="0" w:color="auto" w:frame="1"/>
        </w:rPr>
        <w:t xml:space="preserve"> </w:t>
      </w:r>
      <w:hyperlink r:id="rId7" w:history="1">
        <w:r w:rsidR="0071312A" w:rsidRPr="00A15F91">
          <w:rPr>
            <w:rStyle w:val="Hyperlink"/>
            <w:sz w:val="22"/>
            <w:szCs w:val="22"/>
            <w:bdr w:val="none" w:sz="0" w:space="0" w:color="auto" w:frame="1"/>
          </w:rPr>
          <w:t>lgarc196@calstatela.edu</w:t>
        </w:r>
      </w:hyperlink>
      <w:r w:rsidR="0071312A" w:rsidRPr="00A15F91">
        <w:rPr>
          <w:color w:val="000000"/>
          <w:sz w:val="22"/>
          <w:szCs w:val="22"/>
          <w:bdr w:val="none" w:sz="0" w:space="0" w:color="auto" w:frame="1"/>
        </w:rPr>
        <w:t xml:space="preserve"> </w:t>
      </w:r>
      <w:hyperlink r:id="rId8" w:history="1">
        <w:r w:rsidR="0071312A" w:rsidRPr="00A15F91">
          <w:rPr>
            <w:rStyle w:val="Hyperlink"/>
            <w:sz w:val="22"/>
            <w:szCs w:val="22"/>
            <w:bdr w:val="none" w:sz="0" w:space="0" w:color="auto" w:frame="1"/>
          </w:rPr>
          <w:t>lblanc10@calstatela.edu</w:t>
        </w:r>
      </w:hyperlink>
      <w:r w:rsidR="0071312A" w:rsidRPr="00A15F91">
        <w:rPr>
          <w:color w:val="000000"/>
          <w:sz w:val="22"/>
          <w:szCs w:val="22"/>
          <w:bdr w:val="none" w:sz="0" w:space="0" w:color="auto" w:frame="1"/>
        </w:rPr>
        <w:t xml:space="preserve"> </w:t>
      </w:r>
      <w:hyperlink r:id="rId9" w:history="1">
        <w:r w:rsidR="0071312A" w:rsidRPr="00A15F91">
          <w:rPr>
            <w:rStyle w:val="Hyperlink"/>
            <w:sz w:val="22"/>
            <w:szCs w:val="22"/>
            <w:bdr w:val="none" w:sz="0" w:space="0" w:color="auto" w:frame="1"/>
          </w:rPr>
          <w:t>rfatima3@calstatela.edu</w:t>
        </w:r>
      </w:hyperlink>
    </w:p>
    <w:p w14:paraId="7EFC207A" w14:textId="77777777" w:rsidR="00236B05" w:rsidRDefault="00236B05" w:rsidP="0071312A">
      <w:pPr>
        <w:jc w:val="center"/>
        <w:rPr>
          <w:b/>
          <w:bCs/>
          <w:color w:val="000000"/>
          <w:shd w:val="clear" w:color="auto" w:fill="FFFFFF"/>
        </w:rPr>
      </w:pPr>
    </w:p>
    <w:p w14:paraId="40F17639" w14:textId="77777777" w:rsidR="00236B05" w:rsidRDefault="00236B05" w:rsidP="00F37B42">
      <w:pPr>
        <w:rPr>
          <w:b/>
          <w:bCs/>
          <w:color w:val="000000"/>
          <w:shd w:val="clear" w:color="auto" w:fill="FFFFFF"/>
        </w:rPr>
        <w:sectPr w:rsidR="00236B05" w:rsidSect="00946EF9">
          <w:pgSz w:w="12240" w:h="15840"/>
          <w:pgMar w:top="1440" w:right="1440" w:bottom="1440" w:left="1440" w:header="720" w:footer="720" w:gutter="0"/>
          <w:cols w:space="720"/>
          <w:docGrid w:linePitch="360"/>
        </w:sectPr>
      </w:pPr>
    </w:p>
    <w:p w14:paraId="2BB10436" w14:textId="153FD5A7" w:rsidR="00F37B42" w:rsidRPr="00F37B42" w:rsidRDefault="00F37B42" w:rsidP="00F37B42">
      <w:pPr>
        <w:rPr>
          <w:b/>
          <w:bCs/>
          <w:color w:val="000000"/>
          <w:shd w:val="clear" w:color="auto" w:fill="FFFFFF"/>
        </w:rPr>
      </w:pPr>
      <w:r>
        <w:rPr>
          <w:b/>
          <w:bCs/>
          <w:color w:val="000000"/>
          <w:shd w:val="clear" w:color="auto" w:fill="FFFFFF"/>
        </w:rPr>
        <w:t>Abstract:</w:t>
      </w:r>
      <w:r w:rsidR="00236B05">
        <w:rPr>
          <w:b/>
          <w:bCs/>
          <w:color w:val="000000"/>
          <w:shd w:val="clear" w:color="auto" w:fill="FFFFFF"/>
        </w:rPr>
        <w:t xml:space="preserve"> </w:t>
      </w:r>
      <w:r w:rsidRPr="00F37B42">
        <w:rPr>
          <w:color w:val="000000"/>
          <w:sz w:val="20"/>
          <w:szCs w:val="20"/>
          <w:shd w:val="clear" w:color="auto" w:fill="FFFFFF"/>
        </w:rPr>
        <w:t xml:space="preserve">This paper uses data set from pre covid and during the time of covid to compare the foreclosures </w:t>
      </w:r>
      <w:proofErr w:type="gramStart"/>
      <w:r w:rsidRPr="00F37B42">
        <w:rPr>
          <w:color w:val="000000"/>
          <w:sz w:val="20"/>
          <w:szCs w:val="20"/>
          <w:shd w:val="clear" w:color="auto" w:fill="FFFFFF"/>
        </w:rPr>
        <w:t>in order to</w:t>
      </w:r>
      <w:proofErr w:type="gramEnd"/>
      <w:r w:rsidRPr="00F37B42">
        <w:rPr>
          <w:color w:val="000000"/>
          <w:sz w:val="20"/>
          <w:szCs w:val="20"/>
          <w:shd w:val="clear" w:color="auto" w:fill="FFFFFF"/>
        </w:rPr>
        <w:t xml:space="preserve"> forecast and analyze future foreclosures based on zip code and lender. The data contains single-family properties, multi-family properties, and vacant residential properties from 2019 to 2020. These foreclosures are based in Los Angeles Housing Department (LAHD). </w:t>
      </w:r>
      <w:r w:rsidRPr="00F37B42">
        <w:rPr>
          <w:color w:val="000000"/>
          <w:sz w:val="20"/>
          <w:szCs w:val="20"/>
          <w:bdr w:val="none" w:sz="0" w:space="0" w:color="auto" w:frame="1"/>
          <w:shd w:val="clear" w:color="auto" w:fill="FFFFFF"/>
        </w:rPr>
        <w:t>The data provides a forecasting method and a prototype model of analysis of the great Los Angeles area. </w:t>
      </w:r>
      <w:r w:rsidRPr="00F37B42">
        <w:rPr>
          <w:color w:val="000000"/>
          <w:sz w:val="20"/>
          <w:szCs w:val="20"/>
          <w:shd w:val="clear" w:color="auto" w:fill="FFFFFF"/>
        </w:rPr>
        <w:t>Furthermore, this data is analyzed using SAP Analytics</w:t>
      </w:r>
      <w:r w:rsidR="00EE487D">
        <w:rPr>
          <w:color w:val="000000"/>
          <w:sz w:val="20"/>
          <w:szCs w:val="20"/>
          <w:shd w:val="clear" w:color="auto" w:fill="FFFFFF"/>
        </w:rPr>
        <w:t xml:space="preserve"> Cloud</w:t>
      </w:r>
      <w:r w:rsidR="0079687A">
        <w:rPr>
          <w:color w:val="000000"/>
          <w:sz w:val="20"/>
          <w:szCs w:val="20"/>
          <w:shd w:val="clear" w:color="auto" w:fill="FFFFFF"/>
        </w:rPr>
        <w:t xml:space="preserve"> (SAC)</w:t>
      </w:r>
      <w:r w:rsidRPr="00F37B42">
        <w:rPr>
          <w:color w:val="000000"/>
          <w:sz w:val="20"/>
          <w:szCs w:val="20"/>
          <w:shd w:val="clear" w:color="auto" w:fill="FFFFFF"/>
        </w:rPr>
        <w:t>, with graphics such as timelines and charts displaying LAHD foreclose properties.</w:t>
      </w:r>
    </w:p>
    <w:p w14:paraId="3D92E2AD" w14:textId="77777777" w:rsidR="00F37B42" w:rsidRDefault="00F37B42">
      <w:pPr>
        <w:rPr>
          <w:b/>
          <w:bCs/>
        </w:rPr>
      </w:pPr>
    </w:p>
    <w:p w14:paraId="0A28D4AA" w14:textId="45DC7621" w:rsidR="00497EAF" w:rsidRPr="00236B05" w:rsidRDefault="00497EAF" w:rsidP="000A155C">
      <w:pPr>
        <w:pStyle w:val="ListParagraph"/>
        <w:numPr>
          <w:ilvl w:val="0"/>
          <w:numId w:val="1"/>
        </w:numPr>
        <w:jc w:val="center"/>
        <w:rPr>
          <w:b/>
          <w:bCs/>
        </w:rPr>
      </w:pPr>
      <w:r w:rsidRPr="00236B05">
        <w:rPr>
          <w:b/>
          <w:bCs/>
        </w:rPr>
        <w:t>Introduction</w:t>
      </w:r>
    </w:p>
    <w:p w14:paraId="3E08689D" w14:textId="62B8CDD2" w:rsidR="00767CCB" w:rsidRDefault="00870DC9" w:rsidP="00575DD0">
      <w:pPr>
        <w:ind w:firstLine="360"/>
        <w:rPr>
          <w:sz w:val="20"/>
          <w:szCs w:val="20"/>
        </w:rPr>
      </w:pPr>
      <w:r w:rsidRPr="00870DC9">
        <w:rPr>
          <w:sz w:val="20"/>
          <w:szCs w:val="20"/>
        </w:rPr>
        <w:t>The data of Los Angeles foreclosures in the United States is processed and shown in this study using SAP Analytics Cloud. The data was obtained from the website lacity.org</w:t>
      </w:r>
      <w:r>
        <w:rPr>
          <w:sz w:val="20"/>
          <w:szCs w:val="20"/>
        </w:rPr>
        <w:t xml:space="preserve"> and </w:t>
      </w:r>
      <w:r w:rsidR="00EB39C5" w:rsidRPr="00EB39C5">
        <w:rPr>
          <w:sz w:val="20"/>
          <w:szCs w:val="20"/>
        </w:rPr>
        <w:t>it mainly</w:t>
      </w:r>
      <w:r w:rsidR="00EB39C5">
        <w:rPr>
          <w:sz w:val="20"/>
          <w:szCs w:val="20"/>
        </w:rPr>
        <w:t xml:space="preserve"> </w:t>
      </w:r>
      <w:r w:rsidR="00EB39C5" w:rsidRPr="00EB39C5">
        <w:rPr>
          <w:sz w:val="20"/>
          <w:szCs w:val="20"/>
        </w:rPr>
        <w:t xml:space="preserve">consists of information on </w:t>
      </w:r>
      <w:r w:rsidR="00EB39C5">
        <w:rPr>
          <w:sz w:val="20"/>
          <w:szCs w:val="20"/>
        </w:rPr>
        <w:t xml:space="preserve">foreclosures in the </w:t>
      </w:r>
      <w:r>
        <w:rPr>
          <w:sz w:val="20"/>
          <w:szCs w:val="20"/>
        </w:rPr>
        <w:t>provided</w:t>
      </w:r>
      <w:r w:rsidR="00EB39C5">
        <w:rPr>
          <w:sz w:val="20"/>
          <w:szCs w:val="20"/>
        </w:rPr>
        <w:t xml:space="preserve"> year</w:t>
      </w:r>
      <w:r w:rsidR="00EB39C5" w:rsidRPr="00EB39C5">
        <w:rPr>
          <w:sz w:val="20"/>
          <w:szCs w:val="20"/>
        </w:rPr>
        <w:t xml:space="preserve">, </w:t>
      </w:r>
      <w:r w:rsidR="00EB39C5">
        <w:rPr>
          <w:sz w:val="20"/>
          <w:szCs w:val="20"/>
        </w:rPr>
        <w:t>lender contact, property address, property type, and property management contact information</w:t>
      </w:r>
      <w:r w:rsidR="00EB39C5" w:rsidRPr="00EB39C5">
        <w:rPr>
          <w:sz w:val="20"/>
          <w:szCs w:val="20"/>
        </w:rPr>
        <w:t xml:space="preserve">. </w:t>
      </w:r>
      <w:r w:rsidR="00EB39C5">
        <w:rPr>
          <w:sz w:val="20"/>
          <w:szCs w:val="20"/>
        </w:rPr>
        <w:t>We have use</w:t>
      </w:r>
      <w:r w:rsidR="002849C2">
        <w:rPr>
          <w:sz w:val="20"/>
          <w:szCs w:val="20"/>
        </w:rPr>
        <w:t>d</w:t>
      </w:r>
      <w:r w:rsidR="00EB39C5">
        <w:rPr>
          <w:sz w:val="20"/>
          <w:szCs w:val="20"/>
        </w:rPr>
        <w:t xml:space="preserve"> pre covid crisis 2019 </w:t>
      </w:r>
      <w:r w:rsidR="002849C2">
        <w:rPr>
          <w:sz w:val="20"/>
          <w:szCs w:val="20"/>
        </w:rPr>
        <w:t xml:space="preserve">data </w:t>
      </w:r>
      <w:r w:rsidR="00EB39C5">
        <w:rPr>
          <w:sz w:val="20"/>
          <w:szCs w:val="20"/>
        </w:rPr>
        <w:t>versus mid covid crisis 2020</w:t>
      </w:r>
      <w:r w:rsidR="002849C2">
        <w:rPr>
          <w:sz w:val="20"/>
          <w:szCs w:val="20"/>
        </w:rPr>
        <w:t xml:space="preserve"> data</w:t>
      </w:r>
      <w:r w:rsidR="00EB39C5">
        <w:rPr>
          <w:sz w:val="20"/>
          <w:szCs w:val="20"/>
        </w:rPr>
        <w:t xml:space="preserve">. We have chosen foreclosures to </w:t>
      </w:r>
      <w:r>
        <w:rPr>
          <w:sz w:val="20"/>
          <w:szCs w:val="20"/>
        </w:rPr>
        <w:t xml:space="preserve">see how the market was affected given how covid has impacted the housing </w:t>
      </w:r>
      <w:r w:rsidRPr="00767CCB">
        <w:rPr>
          <w:sz w:val="20"/>
          <w:szCs w:val="20"/>
        </w:rPr>
        <w:t>market.</w:t>
      </w:r>
      <w:r w:rsidR="00767CCB">
        <w:rPr>
          <w:sz w:val="20"/>
          <w:szCs w:val="20"/>
        </w:rPr>
        <w:t xml:space="preserve"> </w:t>
      </w:r>
    </w:p>
    <w:p w14:paraId="66BCE5CD" w14:textId="77777777" w:rsidR="004572A5" w:rsidRDefault="004572A5" w:rsidP="00575DD0">
      <w:pPr>
        <w:ind w:firstLine="360"/>
        <w:rPr>
          <w:sz w:val="20"/>
          <w:szCs w:val="20"/>
        </w:rPr>
      </w:pPr>
    </w:p>
    <w:p w14:paraId="63CB3E7B" w14:textId="31B6C16F" w:rsidR="009E2C08" w:rsidRPr="00767CCB" w:rsidRDefault="00236B05" w:rsidP="00767CCB">
      <w:pPr>
        <w:pStyle w:val="ListParagraph"/>
        <w:numPr>
          <w:ilvl w:val="0"/>
          <w:numId w:val="1"/>
        </w:numPr>
        <w:jc w:val="center"/>
        <w:rPr>
          <w:b/>
          <w:bCs/>
        </w:rPr>
      </w:pPr>
      <w:r w:rsidRPr="00767CCB">
        <w:rPr>
          <w:b/>
          <w:bCs/>
        </w:rPr>
        <w:t>Related Work</w:t>
      </w:r>
    </w:p>
    <w:p w14:paraId="47FD9861" w14:textId="65DD7381" w:rsidR="007C1C1A" w:rsidRDefault="007C1C1A" w:rsidP="00575DD0">
      <w:pPr>
        <w:ind w:firstLine="360"/>
        <w:rPr>
          <w:sz w:val="20"/>
          <w:szCs w:val="20"/>
        </w:rPr>
      </w:pPr>
      <w:r w:rsidRPr="007C1C1A">
        <w:rPr>
          <w:sz w:val="20"/>
          <w:szCs w:val="20"/>
        </w:rPr>
        <w:t>Los Angeles is well-known across the world as the film and entertainment capital of the world. A healthy housing market is one that is supported by job</w:t>
      </w:r>
      <w:r>
        <w:rPr>
          <w:sz w:val="20"/>
          <w:szCs w:val="20"/>
        </w:rPr>
        <w:t xml:space="preserve"> </w:t>
      </w:r>
      <w:r w:rsidRPr="007C1C1A">
        <w:rPr>
          <w:sz w:val="20"/>
          <w:szCs w:val="20"/>
        </w:rPr>
        <w:t>opportunities, population expansion, tourism, and a strong economy. The housing market in Los Angeles has always been one of the largest and most competitive in the country. The forecast for the Los Angeles real estate market in 2019 and beyond was relatively bright prior to the pandemic</w:t>
      </w:r>
      <w:r>
        <w:rPr>
          <w:sz w:val="20"/>
          <w:szCs w:val="20"/>
        </w:rPr>
        <w:t xml:space="preserve"> [</w:t>
      </w:r>
      <w:r w:rsidR="000665E2">
        <w:rPr>
          <w:sz w:val="20"/>
          <w:szCs w:val="20"/>
        </w:rPr>
        <w:t>5</w:t>
      </w:r>
      <w:r>
        <w:rPr>
          <w:sz w:val="20"/>
          <w:szCs w:val="20"/>
        </w:rPr>
        <w:t>]</w:t>
      </w:r>
      <w:r w:rsidRPr="007C1C1A">
        <w:rPr>
          <w:sz w:val="20"/>
          <w:szCs w:val="20"/>
        </w:rPr>
        <w:t>.</w:t>
      </w:r>
    </w:p>
    <w:p w14:paraId="67322D55" w14:textId="7BA50C54" w:rsidR="005D24F4" w:rsidRDefault="00C23A7E" w:rsidP="005D24F4">
      <w:pPr>
        <w:ind w:firstLine="360"/>
        <w:rPr>
          <w:sz w:val="20"/>
          <w:szCs w:val="20"/>
        </w:rPr>
      </w:pPr>
      <w:r w:rsidRPr="00C23A7E">
        <w:rPr>
          <w:sz w:val="20"/>
          <w:szCs w:val="20"/>
        </w:rPr>
        <w:t>The COVID-19 pandemic has affected every aspect of life and industry. It's no different in the real estate industry. The housing market has been damaged by the crisis.</w:t>
      </w:r>
      <w:r>
        <w:rPr>
          <w:sz w:val="20"/>
          <w:szCs w:val="20"/>
        </w:rPr>
        <w:t xml:space="preserve"> </w:t>
      </w:r>
      <w:r w:rsidR="00A02A12" w:rsidRPr="00A02A12">
        <w:rPr>
          <w:sz w:val="20"/>
          <w:szCs w:val="20"/>
        </w:rPr>
        <w:t>As a result of stay-at-home orders, pending residential sales fell 25.6% in April 2020 compared to March</w:t>
      </w:r>
      <w:r w:rsidR="00E53D2A">
        <w:rPr>
          <w:sz w:val="20"/>
          <w:szCs w:val="20"/>
        </w:rPr>
        <w:t xml:space="preserve"> </w:t>
      </w:r>
      <w:r w:rsidR="003677BA">
        <w:rPr>
          <w:sz w:val="20"/>
          <w:szCs w:val="20"/>
        </w:rPr>
        <w:t>[3]</w:t>
      </w:r>
      <w:r w:rsidR="00A02A12" w:rsidRPr="00A02A12">
        <w:rPr>
          <w:sz w:val="20"/>
          <w:szCs w:val="20"/>
        </w:rPr>
        <w:t>.</w:t>
      </w:r>
      <w:r w:rsidR="00A02A12">
        <w:rPr>
          <w:sz w:val="20"/>
          <w:szCs w:val="20"/>
        </w:rPr>
        <w:t xml:space="preserve"> </w:t>
      </w:r>
      <w:r w:rsidR="00575DD0" w:rsidRPr="00575DD0">
        <w:rPr>
          <w:sz w:val="20"/>
          <w:szCs w:val="20"/>
        </w:rPr>
        <w:t xml:space="preserve">Mortgage interest rates have fallen since the Federal Reserve cut its interest rate to near zero. Buyers frequently find this intriguing. Lenders, on the other hand, are getting more selective when it comes to accepting applications. Both the minimum down payment and the minimum FICO score are increasing. </w:t>
      </w:r>
    </w:p>
    <w:p w14:paraId="237233AC" w14:textId="020ECF32" w:rsidR="004D4942" w:rsidRPr="005D24F4" w:rsidRDefault="00287537" w:rsidP="005D24F4">
      <w:pPr>
        <w:ind w:firstLine="360"/>
        <w:rPr>
          <w:sz w:val="20"/>
          <w:szCs w:val="20"/>
        </w:rPr>
      </w:pPr>
      <w:r>
        <w:rPr>
          <w:sz w:val="20"/>
          <w:szCs w:val="20"/>
        </w:rPr>
        <w:t xml:space="preserve">RealtyTrac </w:t>
      </w:r>
      <w:r w:rsidR="008870D7">
        <w:rPr>
          <w:sz w:val="20"/>
          <w:szCs w:val="20"/>
        </w:rPr>
        <w:t>used bubble</w:t>
      </w:r>
      <w:r w:rsidR="00B21B32">
        <w:rPr>
          <w:sz w:val="20"/>
          <w:szCs w:val="20"/>
        </w:rPr>
        <w:t>s</w:t>
      </w:r>
      <w:r w:rsidR="008870D7">
        <w:rPr>
          <w:sz w:val="20"/>
          <w:szCs w:val="20"/>
        </w:rPr>
        <w:t xml:space="preserve"> on the map of Los Angeles to show all the foreclosures in the area</w:t>
      </w:r>
      <w:r w:rsidR="00D6683A">
        <w:rPr>
          <w:sz w:val="20"/>
          <w:szCs w:val="20"/>
        </w:rPr>
        <w:t xml:space="preserve"> [4]</w:t>
      </w:r>
      <w:r w:rsidR="008870D7">
        <w:rPr>
          <w:sz w:val="20"/>
          <w:szCs w:val="20"/>
        </w:rPr>
        <w:t xml:space="preserve">. This is </w:t>
      </w:r>
      <w:proofErr w:type="gramStart"/>
      <w:r w:rsidR="00202C7C">
        <w:rPr>
          <w:sz w:val="20"/>
          <w:szCs w:val="20"/>
        </w:rPr>
        <w:t>similar to</w:t>
      </w:r>
      <w:proofErr w:type="gramEnd"/>
      <w:r w:rsidR="00202C7C">
        <w:rPr>
          <w:sz w:val="20"/>
          <w:szCs w:val="20"/>
        </w:rPr>
        <w:t xml:space="preserve"> the bubbles </w:t>
      </w:r>
      <w:r w:rsidR="008870D7">
        <w:rPr>
          <w:sz w:val="20"/>
          <w:szCs w:val="20"/>
        </w:rPr>
        <w:t>we used in SA</w:t>
      </w:r>
      <w:r w:rsidR="0079687A">
        <w:rPr>
          <w:sz w:val="20"/>
          <w:szCs w:val="20"/>
        </w:rPr>
        <w:t>C</w:t>
      </w:r>
      <w:r w:rsidR="008870D7">
        <w:rPr>
          <w:sz w:val="20"/>
          <w:szCs w:val="20"/>
        </w:rPr>
        <w:t xml:space="preserve">. </w:t>
      </w:r>
      <w:r w:rsidR="00D6683A">
        <w:rPr>
          <w:sz w:val="20"/>
          <w:szCs w:val="20"/>
        </w:rPr>
        <w:t xml:space="preserve">Los Angeles Housing Department </w:t>
      </w:r>
      <w:r w:rsidR="00D6683A">
        <w:rPr>
          <w:sz w:val="20"/>
          <w:szCs w:val="20"/>
        </w:rPr>
        <w:t xml:space="preserve">used different </w:t>
      </w:r>
      <w:r w:rsidR="00E1477B">
        <w:rPr>
          <w:sz w:val="20"/>
          <w:szCs w:val="20"/>
        </w:rPr>
        <w:t>t</w:t>
      </w:r>
      <w:r w:rsidR="00D6683A">
        <w:rPr>
          <w:sz w:val="20"/>
          <w:szCs w:val="20"/>
        </w:rPr>
        <w:t xml:space="preserve">ypes of visualizations to show foreclosures in Los Angeles [1] [2]. </w:t>
      </w:r>
      <w:r w:rsidR="004D4942">
        <w:rPr>
          <w:sz w:val="20"/>
          <w:szCs w:val="20"/>
        </w:rPr>
        <w:t>I</w:t>
      </w:r>
      <w:r w:rsidR="004D4942">
        <w:rPr>
          <w:rStyle w:val="normaltextrun"/>
          <w:color w:val="000000"/>
          <w:sz w:val="20"/>
          <w:szCs w:val="20"/>
          <w:shd w:val="clear" w:color="auto" w:fill="FFFFFF"/>
        </w:rPr>
        <w:t xml:space="preserve">n comparison to our analysis, we were able to extend to the end of 2020 and include data collection/modeling, charts, </w:t>
      </w:r>
      <w:r w:rsidR="007F49CE">
        <w:rPr>
          <w:rStyle w:val="normaltextrun"/>
          <w:color w:val="000000"/>
          <w:sz w:val="20"/>
          <w:szCs w:val="20"/>
          <w:shd w:val="clear" w:color="auto" w:fill="FFFFFF"/>
        </w:rPr>
        <w:t xml:space="preserve">regression, </w:t>
      </w:r>
      <w:r w:rsidR="004D4942">
        <w:rPr>
          <w:rStyle w:val="normaltextrun"/>
          <w:color w:val="000000"/>
          <w:sz w:val="20"/>
          <w:szCs w:val="20"/>
          <w:shd w:val="clear" w:color="auto" w:fill="FFFFFF"/>
        </w:rPr>
        <w:t xml:space="preserve">classification, and </w:t>
      </w:r>
      <w:r w:rsidR="00BD256D">
        <w:rPr>
          <w:rStyle w:val="normaltextrun"/>
          <w:color w:val="000000"/>
          <w:sz w:val="20"/>
          <w:szCs w:val="20"/>
          <w:shd w:val="clear" w:color="auto" w:fill="FFFFFF"/>
        </w:rPr>
        <w:t xml:space="preserve">time series </w:t>
      </w:r>
      <w:r w:rsidR="004D4942">
        <w:rPr>
          <w:rStyle w:val="normaltextrun"/>
          <w:color w:val="000000"/>
          <w:sz w:val="20"/>
          <w:szCs w:val="20"/>
          <w:shd w:val="clear" w:color="auto" w:fill="FFFFFF"/>
        </w:rPr>
        <w:t xml:space="preserve">forecasting to compare the data sets from 2019 and 2020 </w:t>
      </w:r>
      <w:proofErr w:type="gramStart"/>
      <w:r w:rsidR="004D4942">
        <w:rPr>
          <w:rStyle w:val="normaltextrun"/>
          <w:color w:val="000000"/>
          <w:sz w:val="20"/>
          <w:szCs w:val="20"/>
          <w:shd w:val="clear" w:color="auto" w:fill="FFFFFF"/>
        </w:rPr>
        <w:t>in order to</w:t>
      </w:r>
      <w:proofErr w:type="gramEnd"/>
      <w:r w:rsidR="004D4942">
        <w:rPr>
          <w:rStyle w:val="normaltextrun"/>
          <w:color w:val="000000"/>
          <w:sz w:val="20"/>
          <w:szCs w:val="20"/>
          <w:shd w:val="clear" w:color="auto" w:fill="FFFFFF"/>
        </w:rPr>
        <w:t xml:space="preserve"> forecast for 2022.</w:t>
      </w:r>
      <w:r w:rsidR="00E1477B">
        <w:rPr>
          <w:rStyle w:val="normaltextrun"/>
          <w:color w:val="000000"/>
          <w:sz w:val="20"/>
          <w:szCs w:val="20"/>
          <w:shd w:val="clear" w:color="auto" w:fill="FFFFFF"/>
        </w:rPr>
        <w:t xml:space="preserve"> </w:t>
      </w:r>
    </w:p>
    <w:p w14:paraId="08AF21A1" w14:textId="6F351989" w:rsidR="00287537" w:rsidRPr="00C23A7E" w:rsidRDefault="00A0263A" w:rsidP="00E53D2A">
      <w:pPr>
        <w:ind w:firstLine="360"/>
        <w:rPr>
          <w:sz w:val="20"/>
          <w:szCs w:val="20"/>
        </w:rPr>
      </w:pPr>
      <w:r>
        <w:rPr>
          <w:sz w:val="20"/>
          <w:szCs w:val="20"/>
        </w:rPr>
        <w:t xml:space="preserve"> </w:t>
      </w:r>
    </w:p>
    <w:p w14:paraId="50766640" w14:textId="76EA10C3" w:rsidR="00883335" w:rsidRDefault="00A63266" w:rsidP="00883335">
      <w:pPr>
        <w:pStyle w:val="ListParagraph"/>
        <w:numPr>
          <w:ilvl w:val="0"/>
          <w:numId w:val="1"/>
        </w:numPr>
        <w:jc w:val="center"/>
        <w:rPr>
          <w:b/>
          <w:bCs/>
        </w:rPr>
      </w:pPr>
      <w:r>
        <w:rPr>
          <w:b/>
          <w:bCs/>
        </w:rPr>
        <w:t>Specifications</w:t>
      </w:r>
    </w:p>
    <w:p w14:paraId="660A1D55" w14:textId="2BFF5FF5" w:rsidR="00A70C7B" w:rsidRDefault="00567D4C" w:rsidP="00060226">
      <w:pPr>
        <w:ind w:firstLine="360"/>
        <w:rPr>
          <w:sz w:val="20"/>
          <w:szCs w:val="20"/>
        </w:rPr>
      </w:pPr>
      <w:r w:rsidRPr="00567D4C">
        <w:rPr>
          <w:sz w:val="20"/>
          <w:szCs w:val="20"/>
        </w:rPr>
        <w:t xml:space="preserve">The data was collected from LA County public website: www.data.lacity.org under their Housing and Real Estate section. We choose to analyze and visualized the data in a way that can easy help future and existing homeowners find out the foreclosure data based on their cities and zip codes. We also want to see what the effect on the mortgage relief program implemented at the beginning of the covid-19 pandemic by the government had on preventing foreclosure in 2020. The data is published every year and is readily available to be able to continue the analysis year over year. A historical and predictive analysis can be conducted with the available data. We are concentrating our analysis based on property address, property type, property counsel district, </w:t>
      </w:r>
      <w:proofErr w:type="gramStart"/>
      <w:r w:rsidRPr="00567D4C">
        <w:rPr>
          <w:sz w:val="20"/>
          <w:szCs w:val="20"/>
        </w:rPr>
        <w:t>lender</w:t>
      </w:r>
      <w:proofErr w:type="gramEnd"/>
      <w:r w:rsidRPr="00567D4C">
        <w:rPr>
          <w:sz w:val="20"/>
          <w:szCs w:val="20"/>
        </w:rPr>
        <w:t xml:space="preserve"> and property on the map data for 2019 and 2020.</w:t>
      </w:r>
    </w:p>
    <w:tbl>
      <w:tblPr>
        <w:tblW w:w="496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82"/>
        <w:gridCol w:w="1284"/>
      </w:tblGrid>
      <w:tr w:rsidR="00A70C7B" w:rsidRPr="00A70C7B" w14:paraId="2A0B5EDC" w14:textId="77777777" w:rsidTr="00A70C7B">
        <w:tc>
          <w:tcPr>
            <w:tcW w:w="3682" w:type="dxa"/>
            <w:tcBorders>
              <w:top w:val="single" w:sz="6" w:space="0" w:color="auto"/>
              <w:left w:val="single" w:sz="6" w:space="0" w:color="auto"/>
              <w:bottom w:val="single" w:sz="6" w:space="0" w:color="auto"/>
              <w:right w:val="single" w:sz="6" w:space="0" w:color="auto"/>
            </w:tcBorders>
            <w:shd w:val="clear" w:color="auto" w:fill="auto"/>
            <w:hideMark/>
          </w:tcPr>
          <w:p w14:paraId="5740984C" w14:textId="77777777" w:rsidR="00A70C7B" w:rsidRPr="00A70C7B" w:rsidRDefault="00A70C7B" w:rsidP="00A70C7B">
            <w:pPr>
              <w:textAlignment w:val="baseline"/>
              <w:rPr>
                <w:sz w:val="20"/>
                <w:szCs w:val="20"/>
              </w:rPr>
            </w:pPr>
            <w:r w:rsidRPr="00A70C7B">
              <w:rPr>
                <w:sz w:val="20"/>
                <w:szCs w:val="20"/>
              </w:rPr>
              <w:t>Data Set  </w:t>
            </w:r>
          </w:p>
        </w:tc>
        <w:tc>
          <w:tcPr>
            <w:tcW w:w="1284" w:type="dxa"/>
            <w:tcBorders>
              <w:top w:val="single" w:sz="6" w:space="0" w:color="auto"/>
              <w:left w:val="nil"/>
              <w:bottom w:val="single" w:sz="6" w:space="0" w:color="auto"/>
              <w:right w:val="single" w:sz="6" w:space="0" w:color="auto"/>
            </w:tcBorders>
            <w:shd w:val="clear" w:color="auto" w:fill="auto"/>
            <w:hideMark/>
          </w:tcPr>
          <w:p w14:paraId="641F9105" w14:textId="77777777" w:rsidR="00A70C7B" w:rsidRPr="00A70C7B" w:rsidRDefault="00A70C7B" w:rsidP="00A70C7B">
            <w:pPr>
              <w:textAlignment w:val="baseline"/>
              <w:rPr>
                <w:sz w:val="20"/>
                <w:szCs w:val="20"/>
              </w:rPr>
            </w:pPr>
            <w:r w:rsidRPr="00A70C7B">
              <w:rPr>
                <w:sz w:val="20"/>
                <w:szCs w:val="20"/>
              </w:rPr>
              <w:t>Data Size  </w:t>
            </w:r>
          </w:p>
        </w:tc>
      </w:tr>
      <w:tr w:rsidR="00A70C7B" w:rsidRPr="00A70C7B" w14:paraId="3D5A0E60" w14:textId="77777777" w:rsidTr="00A70C7B">
        <w:tc>
          <w:tcPr>
            <w:tcW w:w="3682" w:type="dxa"/>
            <w:tcBorders>
              <w:top w:val="nil"/>
              <w:left w:val="single" w:sz="6" w:space="0" w:color="auto"/>
              <w:bottom w:val="single" w:sz="6" w:space="0" w:color="auto"/>
              <w:right w:val="single" w:sz="6" w:space="0" w:color="auto"/>
            </w:tcBorders>
            <w:shd w:val="clear" w:color="auto" w:fill="auto"/>
            <w:hideMark/>
          </w:tcPr>
          <w:p w14:paraId="1142E2EF" w14:textId="7A7E8B94" w:rsidR="00A70C7B" w:rsidRPr="00A70C7B" w:rsidRDefault="00A70C7B" w:rsidP="00A70C7B">
            <w:pPr>
              <w:textAlignment w:val="baseline"/>
              <w:rPr>
                <w:sz w:val="20"/>
                <w:szCs w:val="20"/>
              </w:rPr>
            </w:pPr>
            <w:r w:rsidRPr="00A70C7B">
              <w:rPr>
                <w:sz w:val="20"/>
                <w:szCs w:val="20"/>
              </w:rPr>
              <w:t>2019 Registered Foreclosure</w:t>
            </w:r>
            <w:r w:rsidRPr="00A70C7B">
              <w:rPr>
                <w:sz w:val="20"/>
                <w:szCs w:val="20"/>
              </w:rPr>
              <w:t xml:space="preserve"> </w:t>
            </w:r>
            <w:r w:rsidRPr="00A70C7B">
              <w:rPr>
                <w:sz w:val="20"/>
                <w:szCs w:val="20"/>
              </w:rPr>
              <w:t>Properties  </w:t>
            </w:r>
          </w:p>
        </w:tc>
        <w:tc>
          <w:tcPr>
            <w:tcW w:w="1284" w:type="dxa"/>
            <w:tcBorders>
              <w:top w:val="nil"/>
              <w:left w:val="nil"/>
              <w:bottom w:val="single" w:sz="6" w:space="0" w:color="auto"/>
              <w:right w:val="single" w:sz="6" w:space="0" w:color="auto"/>
            </w:tcBorders>
            <w:shd w:val="clear" w:color="auto" w:fill="auto"/>
            <w:hideMark/>
          </w:tcPr>
          <w:p w14:paraId="4E08A977" w14:textId="77777777" w:rsidR="00A70C7B" w:rsidRPr="00A70C7B" w:rsidRDefault="00A70C7B" w:rsidP="00A70C7B">
            <w:pPr>
              <w:textAlignment w:val="baseline"/>
              <w:rPr>
                <w:sz w:val="20"/>
                <w:szCs w:val="20"/>
              </w:rPr>
            </w:pPr>
            <w:r w:rsidRPr="00A70C7B">
              <w:rPr>
                <w:sz w:val="20"/>
                <w:szCs w:val="20"/>
              </w:rPr>
              <w:t>509 KB </w:t>
            </w:r>
          </w:p>
        </w:tc>
      </w:tr>
      <w:tr w:rsidR="00A70C7B" w:rsidRPr="00A70C7B" w14:paraId="50CBE08A" w14:textId="77777777" w:rsidTr="00A70C7B">
        <w:tc>
          <w:tcPr>
            <w:tcW w:w="3682" w:type="dxa"/>
            <w:tcBorders>
              <w:top w:val="nil"/>
              <w:left w:val="single" w:sz="6" w:space="0" w:color="auto"/>
              <w:bottom w:val="single" w:sz="6" w:space="0" w:color="auto"/>
              <w:right w:val="single" w:sz="6" w:space="0" w:color="auto"/>
            </w:tcBorders>
            <w:shd w:val="clear" w:color="auto" w:fill="auto"/>
            <w:hideMark/>
          </w:tcPr>
          <w:p w14:paraId="42E6520A" w14:textId="77777777" w:rsidR="00A70C7B" w:rsidRPr="00A70C7B" w:rsidRDefault="00A70C7B" w:rsidP="00A70C7B">
            <w:pPr>
              <w:textAlignment w:val="baseline"/>
              <w:rPr>
                <w:sz w:val="20"/>
                <w:szCs w:val="20"/>
              </w:rPr>
            </w:pPr>
            <w:r w:rsidRPr="00A70C7B">
              <w:rPr>
                <w:sz w:val="20"/>
                <w:szCs w:val="20"/>
              </w:rPr>
              <w:t>2020 Registered Foreclosure Properties </w:t>
            </w:r>
          </w:p>
        </w:tc>
        <w:tc>
          <w:tcPr>
            <w:tcW w:w="1284" w:type="dxa"/>
            <w:tcBorders>
              <w:top w:val="nil"/>
              <w:left w:val="nil"/>
              <w:bottom w:val="single" w:sz="6" w:space="0" w:color="auto"/>
              <w:right w:val="single" w:sz="6" w:space="0" w:color="auto"/>
            </w:tcBorders>
            <w:shd w:val="clear" w:color="auto" w:fill="auto"/>
            <w:hideMark/>
          </w:tcPr>
          <w:p w14:paraId="18E62952" w14:textId="77777777" w:rsidR="00A70C7B" w:rsidRPr="00A70C7B" w:rsidRDefault="00A70C7B" w:rsidP="00A70C7B">
            <w:pPr>
              <w:textAlignment w:val="baseline"/>
              <w:rPr>
                <w:sz w:val="20"/>
                <w:szCs w:val="20"/>
              </w:rPr>
            </w:pPr>
            <w:r w:rsidRPr="00A70C7B">
              <w:rPr>
                <w:sz w:val="20"/>
                <w:szCs w:val="20"/>
              </w:rPr>
              <w:t>809 KB </w:t>
            </w:r>
          </w:p>
        </w:tc>
      </w:tr>
    </w:tbl>
    <w:p w14:paraId="66CC97EA" w14:textId="67F5C13A" w:rsidR="00A70C7B" w:rsidRPr="00A70C7B" w:rsidRDefault="00A70C7B" w:rsidP="00A70C7B">
      <w:pPr>
        <w:textAlignment w:val="baseline"/>
        <w:rPr>
          <w:rFonts w:ascii="Segoe UI" w:hAnsi="Segoe UI" w:cs="Segoe UI"/>
          <w:sz w:val="20"/>
          <w:szCs w:val="20"/>
        </w:rPr>
      </w:pPr>
      <w:r w:rsidRPr="00A70C7B">
        <w:rPr>
          <w:sz w:val="20"/>
          <w:szCs w:val="20"/>
        </w:rPr>
        <w:t>Table 1</w:t>
      </w:r>
      <w:r w:rsidR="003E0A1D">
        <w:rPr>
          <w:sz w:val="20"/>
          <w:szCs w:val="20"/>
        </w:rPr>
        <w:t>.</w:t>
      </w:r>
      <w:r w:rsidRPr="00A70C7B">
        <w:rPr>
          <w:sz w:val="20"/>
          <w:szCs w:val="20"/>
        </w:rPr>
        <w:t xml:space="preserve"> Data Specifications </w:t>
      </w:r>
    </w:p>
    <w:p w14:paraId="25A8B7C1" w14:textId="77777777" w:rsidR="00567D4C" w:rsidRPr="00567D4C" w:rsidRDefault="00567D4C" w:rsidP="00567D4C">
      <w:pPr>
        <w:ind w:firstLine="360"/>
        <w:rPr>
          <w:sz w:val="20"/>
          <w:szCs w:val="20"/>
        </w:rPr>
      </w:pPr>
    </w:p>
    <w:p w14:paraId="624E0425" w14:textId="7F64687E" w:rsidR="00883335" w:rsidRDefault="00883335" w:rsidP="00883335">
      <w:pPr>
        <w:pStyle w:val="paragraph"/>
        <w:numPr>
          <w:ilvl w:val="0"/>
          <w:numId w:val="1"/>
        </w:numPr>
        <w:spacing w:before="0" w:beforeAutospacing="0" w:after="0" w:afterAutospacing="0"/>
        <w:jc w:val="center"/>
        <w:textAlignment w:val="baseline"/>
        <w:rPr>
          <w:rStyle w:val="normaltextrun"/>
          <w:b/>
          <w:bCs/>
        </w:rPr>
      </w:pPr>
      <w:r w:rsidRPr="00883335">
        <w:rPr>
          <w:rStyle w:val="normaltextrun"/>
          <w:b/>
          <w:bCs/>
        </w:rPr>
        <w:t>Implementation Flowchart</w:t>
      </w:r>
    </w:p>
    <w:p w14:paraId="23E311D3" w14:textId="2B7B8C24" w:rsidR="002002AA" w:rsidRDefault="00A70C7B" w:rsidP="002002AA">
      <w:r w:rsidRPr="00591477">
        <w:rPr>
          <w:rStyle w:val="normaltextrun"/>
          <w:color w:val="000000"/>
          <w:sz w:val="20"/>
          <w:szCs w:val="20"/>
        </w:rPr>
        <w:t>The raw dataset downloaded from Los Angeles Housing Department comprised of Foreclosure properties registered in LAHD from 01-01-2019 to 12-31-2019 and from 01-01-2020 to 12-31-202</w:t>
      </w:r>
      <w:r w:rsidR="002002AA">
        <w:rPr>
          <w:rStyle w:val="normaltextrun"/>
          <w:color w:val="000000"/>
          <w:sz w:val="20"/>
          <w:szCs w:val="20"/>
        </w:rPr>
        <w:t xml:space="preserve">0. </w:t>
      </w:r>
      <w:r w:rsidR="002002AA" w:rsidRPr="002002AA">
        <w:rPr>
          <w:rStyle w:val="normaltextrun"/>
          <w:color w:val="000000"/>
          <w:sz w:val="20"/>
          <w:szCs w:val="20"/>
          <w:shd w:val="clear" w:color="auto" w:fill="FFFFFF"/>
        </w:rPr>
        <w:t xml:space="preserve">The process of data manipulation is shown in the flowchart below. The dataset being used was provided in two CSV files. The data files were uploaded to SAP Analytics cloud which was used to clean and create a story with models. The models were then exported to be used in </w:t>
      </w:r>
      <w:r w:rsidR="002002AA" w:rsidRPr="002002AA">
        <w:rPr>
          <w:rStyle w:val="normaltextrun"/>
          <w:color w:val="000000"/>
          <w:sz w:val="20"/>
          <w:szCs w:val="20"/>
        </w:rPr>
        <w:t>the PowerPoint</w:t>
      </w:r>
      <w:r w:rsidR="002002AA" w:rsidRPr="002002AA">
        <w:rPr>
          <w:rStyle w:val="normaltextrun"/>
          <w:color w:val="000000"/>
          <w:sz w:val="20"/>
          <w:szCs w:val="20"/>
          <w:shd w:val="clear" w:color="auto" w:fill="FFFFFF"/>
        </w:rPr>
        <w:t>.</w:t>
      </w:r>
    </w:p>
    <w:p w14:paraId="1DB3A343" w14:textId="6F5FA22F" w:rsidR="00C41FCF" w:rsidRPr="00E6649F" w:rsidRDefault="00B65490" w:rsidP="00591477">
      <w:pPr>
        <w:rPr>
          <w:sz w:val="20"/>
          <w:szCs w:val="20"/>
        </w:rPr>
      </w:pPr>
      <w:r>
        <w:rPr>
          <w:noProof/>
          <w:sz w:val="20"/>
          <w:szCs w:val="20"/>
        </w:rPr>
        <w:drawing>
          <wp:inline distT="0" distB="0" distL="0" distR="0" wp14:anchorId="6858C5A8" wp14:editId="1D87918B">
            <wp:extent cx="1955548" cy="1130539"/>
            <wp:effectExtent l="0" t="0" r="635"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282" t="13042" r="10191" b="2886"/>
                    <a:stretch/>
                  </pic:blipFill>
                  <pic:spPr bwMode="auto">
                    <a:xfrm>
                      <a:off x="0" y="0"/>
                      <a:ext cx="2194658" cy="1268773"/>
                    </a:xfrm>
                    <a:prstGeom prst="rect">
                      <a:avLst/>
                    </a:prstGeom>
                    <a:noFill/>
                    <a:ln>
                      <a:noFill/>
                    </a:ln>
                    <a:extLst>
                      <a:ext uri="{53640926-AAD7-44D8-BBD7-CCE9431645EC}">
                        <a14:shadowObscured xmlns:a14="http://schemas.microsoft.com/office/drawing/2010/main"/>
                      </a:ext>
                    </a:extLst>
                  </pic:spPr>
                </pic:pic>
              </a:graphicData>
            </a:graphic>
          </wp:inline>
        </w:drawing>
      </w:r>
      <w:r w:rsidR="00C41FCF">
        <w:br/>
      </w:r>
      <w:r w:rsidR="00C41FCF" w:rsidRPr="00C41FCF">
        <w:rPr>
          <w:sz w:val="20"/>
          <w:szCs w:val="20"/>
        </w:rPr>
        <w:t>Figure 1</w:t>
      </w:r>
      <w:r w:rsidR="00D41D43">
        <w:rPr>
          <w:sz w:val="20"/>
          <w:szCs w:val="20"/>
        </w:rPr>
        <w:t>.</w:t>
      </w:r>
      <w:r w:rsidR="00C41FCF">
        <w:rPr>
          <w:sz w:val="20"/>
          <w:szCs w:val="20"/>
        </w:rPr>
        <w:t xml:space="preserve"> </w:t>
      </w:r>
      <w:r w:rsidR="00C41FCF" w:rsidRPr="00C41FCF">
        <w:rPr>
          <w:sz w:val="20"/>
          <w:szCs w:val="20"/>
        </w:rPr>
        <w:t>Implementation Flowchart</w:t>
      </w:r>
    </w:p>
    <w:p w14:paraId="6601F90C" w14:textId="670B28A6" w:rsidR="00883335" w:rsidRDefault="00883335" w:rsidP="00883335">
      <w:pPr>
        <w:pStyle w:val="paragraph"/>
        <w:numPr>
          <w:ilvl w:val="0"/>
          <w:numId w:val="1"/>
        </w:numPr>
        <w:spacing w:before="0" w:beforeAutospacing="0" w:after="0" w:afterAutospacing="0"/>
        <w:jc w:val="center"/>
        <w:textAlignment w:val="baseline"/>
        <w:rPr>
          <w:rStyle w:val="normaltextrun"/>
          <w:b/>
          <w:bCs/>
        </w:rPr>
      </w:pPr>
      <w:r w:rsidRPr="00883335">
        <w:rPr>
          <w:rStyle w:val="normaltextrun"/>
          <w:b/>
          <w:bCs/>
        </w:rPr>
        <w:lastRenderedPageBreak/>
        <w:t>Data Cleaning</w:t>
      </w:r>
    </w:p>
    <w:p w14:paraId="2EA2F934" w14:textId="105089E3" w:rsidR="00BE7A82" w:rsidRPr="00BE7A82" w:rsidRDefault="00BE7A82" w:rsidP="00BE7A82">
      <w:pPr>
        <w:ind w:firstLine="360"/>
        <w:rPr>
          <w:sz w:val="20"/>
          <w:szCs w:val="20"/>
        </w:rPr>
      </w:pPr>
      <w:r w:rsidRPr="00BE7A82">
        <w:rPr>
          <w:sz w:val="20"/>
          <w:szCs w:val="20"/>
        </w:rPr>
        <w:t>The CSV file was uploaded onto SA</w:t>
      </w:r>
      <w:r w:rsidR="003E0A1D">
        <w:rPr>
          <w:sz w:val="20"/>
          <w:szCs w:val="20"/>
        </w:rPr>
        <w:t>C</w:t>
      </w:r>
      <w:r w:rsidRPr="00BE7A82">
        <w:rPr>
          <w:sz w:val="20"/>
          <w:szCs w:val="20"/>
        </w:rPr>
        <w:t xml:space="preserve"> as a datasheet. </w:t>
      </w:r>
      <w:r>
        <w:rPr>
          <w:sz w:val="20"/>
          <w:szCs w:val="20"/>
        </w:rPr>
        <w:t>T</w:t>
      </w:r>
      <w:r w:rsidRPr="00BE7A82">
        <w:rPr>
          <w:sz w:val="20"/>
          <w:szCs w:val="20"/>
        </w:rPr>
        <w:t>he first step i</w:t>
      </w:r>
      <w:r>
        <w:rPr>
          <w:sz w:val="20"/>
          <w:szCs w:val="20"/>
        </w:rPr>
        <w:t>s</w:t>
      </w:r>
      <w:r w:rsidRPr="00BE7A82">
        <w:rPr>
          <w:sz w:val="20"/>
          <w:szCs w:val="20"/>
        </w:rPr>
        <w:t xml:space="preserve"> cleaning the data</w:t>
      </w:r>
      <w:r>
        <w:rPr>
          <w:sz w:val="20"/>
          <w:szCs w:val="20"/>
        </w:rPr>
        <w:t xml:space="preserve"> </w:t>
      </w:r>
      <w:proofErr w:type="gramStart"/>
      <w:r>
        <w:rPr>
          <w:sz w:val="20"/>
          <w:szCs w:val="20"/>
        </w:rPr>
        <w:t>in order to</w:t>
      </w:r>
      <w:proofErr w:type="gramEnd"/>
      <w:r>
        <w:rPr>
          <w:sz w:val="20"/>
          <w:szCs w:val="20"/>
        </w:rPr>
        <w:t xml:space="preserve"> upload it. We deleted </w:t>
      </w:r>
      <w:r w:rsidR="00A067C3">
        <w:rPr>
          <w:sz w:val="20"/>
          <w:szCs w:val="20"/>
        </w:rPr>
        <w:t xml:space="preserve">columns J to O: </w:t>
      </w:r>
      <w:r w:rsidRPr="00BE7A82">
        <w:rPr>
          <w:sz w:val="20"/>
          <w:szCs w:val="20"/>
        </w:rPr>
        <w:t>Lender Contact</w:t>
      </w:r>
      <w:r>
        <w:rPr>
          <w:sz w:val="20"/>
          <w:szCs w:val="20"/>
        </w:rPr>
        <w:t xml:space="preserve">, </w:t>
      </w:r>
      <w:r w:rsidRPr="00BE7A82">
        <w:rPr>
          <w:sz w:val="20"/>
          <w:szCs w:val="20"/>
        </w:rPr>
        <w:t>Lender Contact Phone</w:t>
      </w:r>
      <w:r>
        <w:rPr>
          <w:sz w:val="20"/>
          <w:szCs w:val="20"/>
        </w:rPr>
        <w:t xml:space="preserve">, </w:t>
      </w:r>
      <w:r w:rsidR="00A067C3" w:rsidRPr="00A067C3">
        <w:rPr>
          <w:sz w:val="20"/>
          <w:szCs w:val="20"/>
        </w:rPr>
        <w:t>Property Management</w:t>
      </w:r>
      <w:r w:rsidR="00A067C3">
        <w:rPr>
          <w:sz w:val="20"/>
          <w:szCs w:val="20"/>
        </w:rPr>
        <w:t xml:space="preserve">, </w:t>
      </w:r>
      <w:r w:rsidR="00A067C3" w:rsidRPr="00A067C3">
        <w:rPr>
          <w:sz w:val="20"/>
          <w:szCs w:val="20"/>
        </w:rPr>
        <w:t>Property Management Contact</w:t>
      </w:r>
      <w:r w:rsidR="00A067C3">
        <w:rPr>
          <w:sz w:val="20"/>
          <w:szCs w:val="20"/>
        </w:rPr>
        <w:t xml:space="preserve">, </w:t>
      </w:r>
      <w:r w:rsidR="00A067C3" w:rsidRPr="00A067C3">
        <w:rPr>
          <w:sz w:val="20"/>
          <w:szCs w:val="20"/>
        </w:rPr>
        <w:t>Property Management Address</w:t>
      </w:r>
      <w:r w:rsidR="00A067C3">
        <w:rPr>
          <w:sz w:val="20"/>
          <w:szCs w:val="20"/>
        </w:rPr>
        <w:t xml:space="preserve">, and </w:t>
      </w:r>
      <w:r w:rsidR="00A067C3" w:rsidRPr="00A067C3">
        <w:rPr>
          <w:sz w:val="20"/>
          <w:szCs w:val="20"/>
        </w:rPr>
        <w:t>Property Management Contact Phone</w:t>
      </w:r>
      <w:r w:rsidR="00A067C3">
        <w:rPr>
          <w:sz w:val="20"/>
          <w:szCs w:val="20"/>
        </w:rPr>
        <w:t>. We also deleted all the blank cells.</w:t>
      </w:r>
      <w:r w:rsidR="0022337B">
        <w:rPr>
          <w:sz w:val="20"/>
          <w:szCs w:val="20"/>
        </w:rPr>
        <w:t xml:space="preserve"> </w:t>
      </w:r>
      <w:r w:rsidRPr="00BE7A82">
        <w:rPr>
          <w:sz w:val="20"/>
          <w:szCs w:val="20"/>
        </w:rPr>
        <w:t>This portion of the data was removed as it was skewing the results when used in certain models. The dataset was then ready for use in to create a story in SA</w:t>
      </w:r>
      <w:r w:rsidR="003E0A1D">
        <w:rPr>
          <w:sz w:val="20"/>
          <w:szCs w:val="20"/>
        </w:rPr>
        <w:t>C</w:t>
      </w:r>
      <w:r w:rsidRPr="00BE7A82">
        <w:rPr>
          <w:sz w:val="20"/>
          <w:szCs w:val="20"/>
        </w:rPr>
        <w:t>.</w:t>
      </w:r>
    </w:p>
    <w:p w14:paraId="32235028" w14:textId="77777777" w:rsidR="00844DD7" w:rsidRPr="00844DD7" w:rsidRDefault="00844DD7" w:rsidP="00844DD7">
      <w:pPr>
        <w:pStyle w:val="paragraph"/>
        <w:spacing w:before="0" w:beforeAutospacing="0" w:after="0" w:afterAutospacing="0"/>
        <w:textAlignment w:val="baseline"/>
        <w:rPr>
          <w:sz w:val="20"/>
          <w:szCs w:val="20"/>
        </w:rPr>
      </w:pPr>
    </w:p>
    <w:p w14:paraId="74BC39FE" w14:textId="549E3064" w:rsidR="00883335" w:rsidRPr="00567D4C" w:rsidRDefault="00883335" w:rsidP="00883335">
      <w:pPr>
        <w:pStyle w:val="paragraph"/>
        <w:numPr>
          <w:ilvl w:val="0"/>
          <w:numId w:val="1"/>
        </w:numPr>
        <w:spacing w:before="0" w:beforeAutospacing="0" w:after="0" w:afterAutospacing="0"/>
        <w:jc w:val="center"/>
        <w:textAlignment w:val="baseline"/>
        <w:rPr>
          <w:rStyle w:val="normaltextrun"/>
          <w:b/>
          <w:bCs/>
        </w:rPr>
      </w:pPr>
      <w:r w:rsidRPr="00883335">
        <w:rPr>
          <w:rStyle w:val="normaltextrun"/>
          <w:b/>
          <w:bCs/>
        </w:rPr>
        <w:t>Analysis and Visualization</w:t>
      </w:r>
    </w:p>
    <w:p w14:paraId="53B35EE5" w14:textId="7F4AAFDC" w:rsidR="00567D4C" w:rsidRDefault="00567D4C" w:rsidP="00567D4C">
      <w:pPr>
        <w:pStyle w:val="paragraph"/>
        <w:spacing w:before="0" w:beforeAutospacing="0" w:after="0" w:afterAutospacing="0"/>
        <w:ind w:firstLine="360"/>
        <w:textAlignment w:val="baseline"/>
        <w:rPr>
          <w:sz w:val="20"/>
          <w:szCs w:val="20"/>
        </w:rPr>
      </w:pPr>
      <w:r w:rsidRPr="00567D4C">
        <w:rPr>
          <w:sz w:val="20"/>
          <w:szCs w:val="20"/>
        </w:rPr>
        <w:t>After data cleaning and determining what data would best describe our analysis, the data model was created for 2019 and 2020 foreclosure data on SAP Analytics Cloud that provided a visual representation of total foreclosed properties, the lender with the most properties foreclosed, and the ability to hone into the date using a filter by zip code. A predictive model was also created that will tell which cities are forecasted to have the most foreclosed properties in coming years.</w:t>
      </w:r>
    </w:p>
    <w:p w14:paraId="6F4993E3" w14:textId="23F6A6D6" w:rsidR="00591477" w:rsidRPr="00591477" w:rsidRDefault="00591477" w:rsidP="00591477">
      <w:r>
        <w:rPr>
          <w:noProof/>
          <w:sz w:val="20"/>
          <w:szCs w:val="20"/>
        </w:rPr>
        <w:drawing>
          <wp:inline distT="0" distB="0" distL="0" distR="0" wp14:anchorId="7A1B792D" wp14:editId="1A79F441">
            <wp:extent cx="3163570" cy="1347470"/>
            <wp:effectExtent l="0" t="0" r="0" b="0"/>
            <wp:docPr id="12" name="Picture 1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ap&#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3570" cy="1347470"/>
                    </a:xfrm>
                    <a:prstGeom prst="rect">
                      <a:avLst/>
                    </a:prstGeom>
                    <a:noFill/>
                    <a:ln>
                      <a:noFill/>
                    </a:ln>
                  </pic:spPr>
                </pic:pic>
              </a:graphicData>
            </a:graphic>
          </wp:inline>
        </w:drawing>
      </w:r>
      <w:r>
        <w:rPr>
          <w:rFonts w:ascii="Calibri" w:hAnsi="Calibri" w:cs="Calibri"/>
          <w:color w:val="000000"/>
          <w:sz w:val="22"/>
          <w:szCs w:val="22"/>
          <w:shd w:val="clear" w:color="auto" w:fill="FFFFFF"/>
        </w:rPr>
        <w:br/>
      </w:r>
      <w:r w:rsidRPr="00591477">
        <w:rPr>
          <w:sz w:val="20"/>
          <w:szCs w:val="20"/>
        </w:rPr>
        <w:t>Figure 2</w:t>
      </w:r>
      <w:r w:rsidR="00D41D43">
        <w:rPr>
          <w:sz w:val="20"/>
          <w:szCs w:val="20"/>
        </w:rPr>
        <w:t>.</w:t>
      </w:r>
      <w:r>
        <w:rPr>
          <w:sz w:val="20"/>
          <w:szCs w:val="20"/>
        </w:rPr>
        <w:t xml:space="preserve"> </w:t>
      </w:r>
      <w:r w:rsidRPr="00591477">
        <w:rPr>
          <w:sz w:val="20"/>
          <w:szCs w:val="20"/>
        </w:rPr>
        <w:t>2019 vs 2020 total number of foreclose properties in LA County</w:t>
      </w:r>
    </w:p>
    <w:p w14:paraId="5A5AA2A2" w14:textId="0BEF6028" w:rsidR="00567D4C" w:rsidRDefault="00567D4C" w:rsidP="00567D4C">
      <w:pPr>
        <w:pStyle w:val="paragraph"/>
        <w:spacing w:before="0" w:beforeAutospacing="0" w:after="0" w:afterAutospacing="0"/>
        <w:textAlignment w:val="baseline"/>
        <w:rPr>
          <w:sz w:val="20"/>
          <w:szCs w:val="20"/>
        </w:rPr>
      </w:pPr>
      <w:r>
        <w:rPr>
          <w:b/>
          <w:bCs/>
          <w:sz w:val="22"/>
          <w:szCs w:val="22"/>
        </w:rPr>
        <w:t>6.1</w:t>
      </w:r>
    </w:p>
    <w:p w14:paraId="7948A21D" w14:textId="02AB3B30" w:rsidR="00567D4C" w:rsidRDefault="00567D4C" w:rsidP="00567D4C">
      <w:pPr>
        <w:pStyle w:val="paragraph"/>
        <w:spacing w:before="0" w:beforeAutospacing="0" w:after="0" w:afterAutospacing="0"/>
        <w:ind w:firstLine="360"/>
        <w:textAlignment w:val="baseline"/>
        <w:rPr>
          <w:sz w:val="20"/>
          <w:szCs w:val="20"/>
        </w:rPr>
      </w:pPr>
      <w:r w:rsidRPr="00567D4C">
        <w:rPr>
          <w:sz w:val="20"/>
          <w:szCs w:val="20"/>
        </w:rPr>
        <w:t>The first visualization (Figure 2), a Geo-Map was created in SAP Analytics Cloud and shows the total of foreclosed properties for the Los Angeles County for 2019 and 2020. The data shows that pre covid-19 pandemic the total number of foreclosures were 2868 for the year 2019. Total foreclosed properties in 2020 during the beginning of the pandemic and the economy shut down the total number of foreclosed properties decreased to 2684. Proving that the mortgage relief program implemented by the government help homeowners keep their properties from foreclosure. The Geo-Map created has a filter by zip code that can hone into the specific location and number of foreclosed properties on any given zip code in the Los Angeles County area for those interested in knowing if a home you are interested in buying or already own was previously foreclosed or not.</w:t>
      </w:r>
    </w:p>
    <w:p w14:paraId="5091F15F" w14:textId="1FD3D08C" w:rsidR="00835B05" w:rsidRDefault="00835B05" w:rsidP="00835B05"/>
    <w:p w14:paraId="5F0EAC15" w14:textId="40B3A7A6" w:rsidR="00835B05" w:rsidRDefault="00835B05" w:rsidP="00835B05">
      <w:pPr>
        <w:rPr>
          <w:sz w:val="20"/>
          <w:szCs w:val="20"/>
        </w:rPr>
      </w:pPr>
      <w:r>
        <w:rPr>
          <w:b/>
          <w:bCs/>
          <w:sz w:val="22"/>
          <w:szCs w:val="22"/>
        </w:rPr>
        <w:t>6.</w:t>
      </w:r>
      <w:r w:rsidR="00C31425">
        <w:rPr>
          <w:b/>
          <w:bCs/>
          <w:sz w:val="22"/>
          <w:szCs w:val="22"/>
        </w:rPr>
        <w:t>2</w:t>
      </w:r>
    </w:p>
    <w:p w14:paraId="3C613107" w14:textId="064D8B52" w:rsidR="00835B05" w:rsidRDefault="00835B05" w:rsidP="00835B05">
      <w:pPr>
        <w:ind w:firstLine="360"/>
        <w:rPr>
          <w:color w:val="000000"/>
          <w:sz w:val="20"/>
          <w:szCs w:val="20"/>
          <w:shd w:val="clear" w:color="auto" w:fill="FFFFFF"/>
        </w:rPr>
      </w:pPr>
      <w:r w:rsidRPr="00835B05">
        <w:rPr>
          <w:color w:val="000000"/>
          <w:sz w:val="20"/>
          <w:szCs w:val="20"/>
          <w:shd w:val="clear" w:color="auto" w:fill="FFFFFF"/>
        </w:rPr>
        <w:t>The two visuals are bar cha</w:t>
      </w:r>
      <w:r w:rsidR="00D41D43">
        <w:rPr>
          <w:color w:val="000000"/>
          <w:sz w:val="20"/>
          <w:szCs w:val="20"/>
          <w:shd w:val="clear" w:color="auto" w:fill="FFFFFF"/>
        </w:rPr>
        <w:t>r</w:t>
      </w:r>
      <w:r w:rsidRPr="00835B05">
        <w:rPr>
          <w:color w:val="000000"/>
          <w:sz w:val="20"/>
          <w:szCs w:val="20"/>
          <w:shd w:val="clear" w:color="auto" w:fill="FFFFFF"/>
        </w:rPr>
        <w:t>t</w:t>
      </w:r>
      <w:r w:rsidR="00CC1204">
        <w:rPr>
          <w:color w:val="000000"/>
          <w:sz w:val="20"/>
          <w:szCs w:val="20"/>
          <w:shd w:val="clear" w:color="auto" w:fill="FFFFFF"/>
        </w:rPr>
        <w:t>s that</w:t>
      </w:r>
      <w:r w:rsidRPr="00835B05">
        <w:rPr>
          <w:color w:val="000000"/>
          <w:sz w:val="20"/>
          <w:szCs w:val="20"/>
          <w:shd w:val="clear" w:color="auto" w:fill="FFFFFF"/>
        </w:rPr>
        <w:t xml:space="preserve"> w</w:t>
      </w:r>
      <w:r w:rsidR="00CC1204">
        <w:rPr>
          <w:color w:val="000000"/>
          <w:sz w:val="20"/>
          <w:szCs w:val="20"/>
          <w:shd w:val="clear" w:color="auto" w:fill="FFFFFF"/>
        </w:rPr>
        <w:t>ere</w:t>
      </w:r>
      <w:r w:rsidRPr="00835B05">
        <w:rPr>
          <w:color w:val="000000"/>
          <w:sz w:val="20"/>
          <w:szCs w:val="20"/>
          <w:shd w:val="clear" w:color="auto" w:fill="FFFFFF"/>
        </w:rPr>
        <w:t xml:space="preserve"> created in SA</w:t>
      </w:r>
      <w:r w:rsidR="00D41D43">
        <w:rPr>
          <w:color w:val="000000"/>
          <w:sz w:val="20"/>
          <w:szCs w:val="20"/>
          <w:shd w:val="clear" w:color="auto" w:fill="FFFFFF"/>
        </w:rPr>
        <w:t>C</w:t>
      </w:r>
      <w:r w:rsidRPr="00835B05">
        <w:rPr>
          <w:color w:val="000000"/>
          <w:sz w:val="20"/>
          <w:szCs w:val="20"/>
          <w:shd w:val="clear" w:color="auto" w:fill="FFFFFF"/>
        </w:rPr>
        <w:t xml:space="preserve">. They show the difference in zip codes with different property types and lenders during the timeline of 2019/2020.  The bar chart is clearly labeled and shows that the top 5 lenders changed in both years.  As well as the property type has not </w:t>
      </w:r>
      <w:r w:rsidRPr="00835B05">
        <w:rPr>
          <w:color w:val="000000"/>
          <w:sz w:val="20"/>
          <w:szCs w:val="20"/>
          <w:shd w:val="clear" w:color="auto" w:fill="FFFFFF"/>
        </w:rPr>
        <w:t>changed in that single family home are the common higher foreclosed property. In 2019 the pandemic helped lower the foreclosure seen with the top 5 in figure. But in 2020 seen through figure we can see an increase in the leader's adding foreclosure as well as the overall foreclosures.</w:t>
      </w:r>
    </w:p>
    <w:p w14:paraId="401DB7EA" w14:textId="77777777" w:rsidR="00835B05" w:rsidRDefault="00835B05" w:rsidP="00835B05">
      <w:r>
        <w:rPr>
          <w:noProof/>
          <w:color w:val="000000"/>
          <w:sz w:val="20"/>
          <w:szCs w:val="20"/>
          <w:shd w:val="clear" w:color="auto" w:fill="FFFFFF"/>
        </w:rPr>
        <w:drawing>
          <wp:inline distT="0" distB="0" distL="0" distR="0" wp14:anchorId="75D04B71" wp14:editId="7940795B">
            <wp:extent cx="2616452" cy="2114496"/>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370" cy="2278485"/>
                    </a:xfrm>
                    <a:prstGeom prst="rect">
                      <a:avLst/>
                    </a:prstGeom>
                    <a:noFill/>
                    <a:ln>
                      <a:noFill/>
                    </a:ln>
                  </pic:spPr>
                </pic:pic>
              </a:graphicData>
            </a:graphic>
          </wp:inline>
        </w:drawing>
      </w:r>
    </w:p>
    <w:p w14:paraId="4F069A6E" w14:textId="1A3E4866" w:rsidR="00D41D43" w:rsidRDefault="00835B05" w:rsidP="00835B05">
      <w:pPr>
        <w:rPr>
          <w:rFonts w:ascii="Calibri" w:hAnsi="Calibri" w:cs="Calibri"/>
          <w:color w:val="000000"/>
          <w:sz w:val="22"/>
          <w:szCs w:val="22"/>
          <w:shd w:val="clear" w:color="auto" w:fill="FFFFFF"/>
        </w:rPr>
      </w:pPr>
      <w:r>
        <w:rPr>
          <w:rFonts w:ascii="Calibri" w:hAnsi="Calibri" w:cs="Calibri"/>
          <w:noProof/>
          <w:color w:val="000000"/>
          <w:sz w:val="22"/>
          <w:szCs w:val="22"/>
          <w:shd w:val="clear" w:color="auto" w:fill="FFFFFF"/>
        </w:rPr>
        <w:drawing>
          <wp:inline distT="0" distB="0" distL="0" distR="0" wp14:anchorId="11685811" wp14:editId="0AFBB63F">
            <wp:extent cx="2616200" cy="2357521"/>
            <wp:effectExtent l="0" t="0" r="0" b="508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9398" cy="2522605"/>
                    </a:xfrm>
                    <a:prstGeom prst="rect">
                      <a:avLst/>
                    </a:prstGeom>
                    <a:noFill/>
                    <a:ln>
                      <a:noFill/>
                    </a:ln>
                  </pic:spPr>
                </pic:pic>
              </a:graphicData>
            </a:graphic>
          </wp:inline>
        </w:drawing>
      </w:r>
    </w:p>
    <w:p w14:paraId="626C2E0B" w14:textId="141E417E" w:rsidR="00D41D43" w:rsidRPr="00D41D43" w:rsidRDefault="00D41D43" w:rsidP="00835B05">
      <w:pPr>
        <w:rPr>
          <w:color w:val="000000"/>
          <w:sz w:val="20"/>
          <w:szCs w:val="20"/>
          <w:shd w:val="clear" w:color="auto" w:fill="FFFFFF"/>
        </w:rPr>
      </w:pPr>
      <w:r w:rsidRPr="00D41D43">
        <w:rPr>
          <w:color w:val="000000"/>
          <w:sz w:val="20"/>
          <w:szCs w:val="20"/>
          <w:shd w:val="clear" w:color="auto" w:fill="FFFFFF"/>
        </w:rPr>
        <w:t>Figure 3.</w:t>
      </w:r>
      <w:r>
        <w:rPr>
          <w:color w:val="000000"/>
          <w:sz w:val="20"/>
          <w:szCs w:val="20"/>
          <w:shd w:val="clear" w:color="auto" w:fill="FFFFFF"/>
        </w:rPr>
        <w:t xml:space="preserve"> 2019 vs. 2020 bar charts</w:t>
      </w:r>
    </w:p>
    <w:p w14:paraId="6ED45158" w14:textId="2743846D" w:rsidR="00E95F83" w:rsidRDefault="0040187E" w:rsidP="00835B05">
      <w:pPr>
        <w:rPr>
          <w:color w:val="000000"/>
          <w:sz w:val="20"/>
          <w:szCs w:val="20"/>
          <w:shd w:val="clear" w:color="auto" w:fill="FFFFFF"/>
        </w:rPr>
      </w:pPr>
      <w:r w:rsidRPr="0040187E">
        <w:rPr>
          <w:b/>
          <w:bCs/>
          <w:color w:val="000000"/>
          <w:sz w:val="22"/>
          <w:szCs w:val="22"/>
          <w:shd w:val="clear" w:color="auto" w:fill="FFFFFF"/>
        </w:rPr>
        <w:t>6.</w:t>
      </w:r>
      <w:r w:rsidR="00C31425">
        <w:rPr>
          <w:b/>
          <w:bCs/>
          <w:color w:val="000000"/>
          <w:sz w:val="22"/>
          <w:szCs w:val="22"/>
          <w:shd w:val="clear" w:color="auto" w:fill="FFFFFF"/>
        </w:rPr>
        <w:t>3</w:t>
      </w:r>
    </w:p>
    <w:p w14:paraId="0F1495D6" w14:textId="78ACC560" w:rsidR="0040187E" w:rsidRDefault="0040187E" w:rsidP="0040187E">
      <w:pPr>
        <w:ind w:firstLine="360"/>
        <w:rPr>
          <w:color w:val="000000"/>
          <w:sz w:val="20"/>
          <w:szCs w:val="20"/>
          <w:shd w:val="clear" w:color="auto" w:fill="FFFFFF"/>
        </w:rPr>
      </w:pPr>
      <w:r w:rsidRPr="0040187E">
        <w:rPr>
          <w:color w:val="000000"/>
          <w:sz w:val="20"/>
          <w:szCs w:val="20"/>
          <w:shd w:val="clear" w:color="auto" w:fill="FFFFFF"/>
        </w:rPr>
        <w:t>The pie charts were also created on SA</w:t>
      </w:r>
      <w:r w:rsidR="00CC1204">
        <w:rPr>
          <w:color w:val="000000"/>
          <w:sz w:val="20"/>
          <w:szCs w:val="20"/>
          <w:shd w:val="clear" w:color="auto" w:fill="FFFFFF"/>
        </w:rPr>
        <w:t>C</w:t>
      </w:r>
      <w:r w:rsidRPr="0040187E">
        <w:rPr>
          <w:color w:val="000000"/>
          <w:sz w:val="20"/>
          <w:szCs w:val="20"/>
          <w:shd w:val="clear" w:color="auto" w:fill="FFFFFF"/>
        </w:rPr>
        <w:t xml:space="preserve">. They demonstrate the foreclosure companies that work within the city of Los Angeles. As seen in 2019 the top 3 were select portfolio servicing, </w:t>
      </w:r>
      <w:proofErr w:type="spellStart"/>
      <w:r w:rsidRPr="0040187E">
        <w:rPr>
          <w:color w:val="000000"/>
          <w:sz w:val="20"/>
          <w:szCs w:val="20"/>
          <w:shd w:val="clear" w:color="auto" w:fill="FFFFFF"/>
        </w:rPr>
        <w:t>ocwne</w:t>
      </w:r>
      <w:proofErr w:type="spellEnd"/>
      <w:r w:rsidRPr="0040187E">
        <w:rPr>
          <w:color w:val="000000"/>
          <w:sz w:val="20"/>
          <w:szCs w:val="20"/>
          <w:shd w:val="clear" w:color="auto" w:fill="FFFFFF"/>
        </w:rPr>
        <w:t xml:space="preserve"> loan service LLC, and Mr. Cooper LLC.  In 2020 those 2 changes with Nationstar mortgage LLC, PHH mortgage corporation and select portfolio servicing. As seen the top foreclosure company in 2019 became the third largest in 2020. This shows that not only sold a lot of their portfolio but the others that gained in 2020 had a lot more foreclosure in their portfolio or bought up a lot of foreclosures in the market.</w:t>
      </w:r>
    </w:p>
    <w:p w14:paraId="789D2D4A" w14:textId="78BA6AB9" w:rsidR="0040187E" w:rsidRDefault="0040187E" w:rsidP="0040187E">
      <w:r>
        <w:rPr>
          <w:noProof/>
          <w:color w:val="000000"/>
          <w:sz w:val="20"/>
          <w:szCs w:val="20"/>
          <w:shd w:val="clear" w:color="auto" w:fill="FFFFFF"/>
        </w:rPr>
        <w:lastRenderedPageBreak/>
        <w:drawing>
          <wp:inline distT="0" distB="0" distL="0" distR="0" wp14:anchorId="3A054E64" wp14:editId="7C72FA61">
            <wp:extent cx="2390114" cy="2048821"/>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8613" cy="2107539"/>
                    </a:xfrm>
                    <a:prstGeom prst="rect">
                      <a:avLst/>
                    </a:prstGeom>
                    <a:noFill/>
                    <a:ln>
                      <a:noFill/>
                    </a:ln>
                  </pic:spPr>
                </pic:pic>
              </a:graphicData>
            </a:graphic>
          </wp:inline>
        </w:drawing>
      </w:r>
    </w:p>
    <w:p w14:paraId="0BD31165" w14:textId="1A3E6222" w:rsidR="0040187E" w:rsidRDefault="0040187E" w:rsidP="0040187E">
      <w:pPr>
        <w:rPr>
          <w:color w:val="000000"/>
          <w:sz w:val="20"/>
          <w:szCs w:val="20"/>
          <w:shd w:val="clear" w:color="auto" w:fill="FFFFFF"/>
        </w:rPr>
      </w:pPr>
    </w:p>
    <w:p w14:paraId="0A321206" w14:textId="20B2F80E" w:rsidR="00C31425" w:rsidRDefault="0040187E" w:rsidP="0040187E">
      <w:pPr>
        <w:rPr>
          <w:rFonts w:ascii="Calibri" w:hAnsi="Calibri" w:cs="Calibri"/>
          <w:color w:val="000000"/>
          <w:sz w:val="22"/>
          <w:szCs w:val="22"/>
          <w:shd w:val="clear" w:color="auto" w:fill="FFFFFF"/>
        </w:rPr>
      </w:pPr>
      <w:r>
        <w:rPr>
          <w:noProof/>
          <w:color w:val="000000"/>
          <w:sz w:val="20"/>
          <w:szCs w:val="20"/>
          <w:shd w:val="clear" w:color="auto" w:fill="FFFFFF"/>
        </w:rPr>
        <w:drawing>
          <wp:inline distT="0" distB="0" distL="0" distR="0" wp14:anchorId="1CFEEF7F" wp14:editId="40794FC7">
            <wp:extent cx="2389505" cy="2005864"/>
            <wp:effectExtent l="0" t="0" r="0" b="1270"/>
            <wp:docPr id="7" name="Picture 7"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unburst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8106" cy="2055056"/>
                    </a:xfrm>
                    <a:prstGeom prst="rect">
                      <a:avLst/>
                    </a:prstGeom>
                    <a:noFill/>
                    <a:ln>
                      <a:noFill/>
                    </a:ln>
                  </pic:spPr>
                </pic:pic>
              </a:graphicData>
            </a:graphic>
          </wp:inline>
        </w:drawing>
      </w:r>
    </w:p>
    <w:p w14:paraId="0CE2ED68" w14:textId="0CC519D6" w:rsidR="00D41D43" w:rsidRPr="00D41D43" w:rsidRDefault="00D41D43" w:rsidP="0040187E">
      <w:pPr>
        <w:rPr>
          <w:sz w:val="20"/>
          <w:szCs w:val="20"/>
        </w:rPr>
      </w:pPr>
      <w:r w:rsidRPr="00D41D43">
        <w:rPr>
          <w:sz w:val="20"/>
          <w:szCs w:val="20"/>
        </w:rPr>
        <w:t>Figure 4. 2019 vs. 2020 pie chart</w:t>
      </w:r>
      <w:r w:rsidR="00945EB5">
        <w:rPr>
          <w:sz w:val="20"/>
          <w:szCs w:val="20"/>
        </w:rPr>
        <w:t xml:space="preserve"> foreclosure companies</w:t>
      </w:r>
    </w:p>
    <w:p w14:paraId="088B2190" w14:textId="4CD6FDF3" w:rsidR="0040187E" w:rsidRDefault="0040187E" w:rsidP="0040187E">
      <w:pPr>
        <w:rPr>
          <w:color w:val="000000"/>
          <w:sz w:val="20"/>
          <w:szCs w:val="20"/>
          <w:shd w:val="clear" w:color="auto" w:fill="FFFFFF"/>
        </w:rPr>
      </w:pPr>
      <w:r>
        <w:rPr>
          <w:b/>
          <w:bCs/>
          <w:color w:val="000000"/>
          <w:sz w:val="22"/>
          <w:szCs w:val="22"/>
          <w:shd w:val="clear" w:color="auto" w:fill="FFFFFF"/>
        </w:rPr>
        <w:t>6.</w:t>
      </w:r>
      <w:r w:rsidR="00C31425">
        <w:rPr>
          <w:b/>
          <w:bCs/>
          <w:color w:val="000000"/>
          <w:sz w:val="22"/>
          <w:szCs w:val="22"/>
          <w:shd w:val="clear" w:color="auto" w:fill="FFFFFF"/>
        </w:rPr>
        <w:t>4</w:t>
      </w:r>
    </w:p>
    <w:p w14:paraId="4B8B4DA0" w14:textId="78348574" w:rsidR="0040187E" w:rsidRDefault="0040187E" w:rsidP="0040187E">
      <w:pPr>
        <w:ind w:firstLine="360"/>
        <w:rPr>
          <w:color w:val="000000"/>
          <w:sz w:val="20"/>
          <w:szCs w:val="20"/>
          <w:shd w:val="clear" w:color="auto" w:fill="FFFFFF"/>
        </w:rPr>
      </w:pPr>
      <w:r w:rsidRPr="0040187E">
        <w:rPr>
          <w:color w:val="000000"/>
          <w:sz w:val="20"/>
          <w:szCs w:val="20"/>
          <w:shd w:val="clear" w:color="auto" w:fill="FFFFFF"/>
        </w:rPr>
        <w:t>These two pie charts were created on SA</w:t>
      </w:r>
      <w:r w:rsidR="00CC1204">
        <w:rPr>
          <w:color w:val="000000"/>
          <w:sz w:val="20"/>
          <w:szCs w:val="20"/>
          <w:shd w:val="clear" w:color="auto" w:fill="FFFFFF"/>
        </w:rPr>
        <w:t>C</w:t>
      </w:r>
      <w:r w:rsidRPr="0040187E">
        <w:rPr>
          <w:color w:val="000000"/>
          <w:sz w:val="20"/>
          <w:szCs w:val="20"/>
          <w:shd w:val="clear" w:color="auto" w:fill="FFFFFF"/>
        </w:rPr>
        <w:t>. They verify that the property types are being sold in foreclosure. They confirm that single family properties are the most common foreclosure property. The change came in 2020 where we can observe a change in the mult</w:t>
      </w:r>
      <w:r w:rsidR="00945EB5">
        <w:rPr>
          <w:color w:val="000000"/>
          <w:sz w:val="20"/>
          <w:szCs w:val="20"/>
          <w:shd w:val="clear" w:color="auto" w:fill="FFFFFF"/>
        </w:rPr>
        <w:t>i</w:t>
      </w:r>
      <w:r w:rsidRPr="0040187E">
        <w:rPr>
          <w:color w:val="000000"/>
          <w:sz w:val="20"/>
          <w:szCs w:val="20"/>
          <w:shd w:val="clear" w:color="auto" w:fill="FFFFFF"/>
        </w:rPr>
        <w:t xml:space="preserve">-family properties that is described as building with more than 3 apartments. Taking </w:t>
      </w:r>
      <w:r w:rsidR="00CC1204">
        <w:rPr>
          <w:color w:val="000000"/>
          <w:sz w:val="20"/>
          <w:szCs w:val="20"/>
          <w:shd w:val="clear" w:color="auto" w:fill="FFFFFF"/>
        </w:rPr>
        <w:t>all that</w:t>
      </w:r>
      <w:r w:rsidRPr="0040187E">
        <w:rPr>
          <w:color w:val="000000"/>
          <w:sz w:val="20"/>
          <w:szCs w:val="20"/>
          <w:shd w:val="clear" w:color="auto" w:fill="FFFFFF"/>
        </w:rPr>
        <w:t xml:space="preserve"> into account it really did not change the overall demographic within the foreclosure market with single family properties being the most common property foreclosed.</w:t>
      </w:r>
    </w:p>
    <w:p w14:paraId="29FF3613" w14:textId="59CF0CFC" w:rsidR="0040187E" w:rsidRDefault="0040187E" w:rsidP="0040187E">
      <w:r>
        <w:rPr>
          <w:noProof/>
          <w:color w:val="000000"/>
          <w:sz w:val="20"/>
          <w:szCs w:val="20"/>
          <w:shd w:val="clear" w:color="auto" w:fill="FFFFFF"/>
        </w:rPr>
        <w:drawing>
          <wp:inline distT="0" distB="0" distL="0" distR="0" wp14:anchorId="7CF04E77" wp14:editId="4A307F79">
            <wp:extent cx="1620520" cy="1529567"/>
            <wp:effectExtent l="0" t="0" r="5080" b="0"/>
            <wp:docPr id="8" name="Picture 8"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unburst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90082" cy="1595225"/>
                    </a:xfrm>
                    <a:prstGeom prst="rect">
                      <a:avLst/>
                    </a:prstGeom>
                    <a:noFill/>
                    <a:ln>
                      <a:noFill/>
                    </a:ln>
                  </pic:spPr>
                </pic:pic>
              </a:graphicData>
            </a:graphic>
          </wp:inline>
        </w:drawing>
      </w:r>
    </w:p>
    <w:p w14:paraId="3ADAD4CB" w14:textId="77777777" w:rsidR="00D41D43" w:rsidRDefault="0040187E" w:rsidP="0040187E">
      <w:pPr>
        <w:rPr>
          <w:b/>
          <w:bCs/>
          <w:sz w:val="22"/>
          <w:szCs w:val="22"/>
        </w:rPr>
      </w:pPr>
      <w:r>
        <w:rPr>
          <w:noProof/>
          <w:color w:val="000000"/>
          <w:sz w:val="20"/>
          <w:szCs w:val="20"/>
          <w:shd w:val="clear" w:color="auto" w:fill="FFFFFF"/>
        </w:rPr>
        <w:drawing>
          <wp:inline distT="0" distB="0" distL="0" distR="0" wp14:anchorId="40EC24B7" wp14:editId="791A0C73">
            <wp:extent cx="2064190" cy="1777209"/>
            <wp:effectExtent l="0" t="0" r="0" b="1270"/>
            <wp:docPr id="9" name="Picture 9"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unburst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71716" cy="1869786"/>
                    </a:xfrm>
                    <a:prstGeom prst="rect">
                      <a:avLst/>
                    </a:prstGeom>
                    <a:noFill/>
                    <a:ln>
                      <a:noFill/>
                    </a:ln>
                  </pic:spPr>
                </pic:pic>
              </a:graphicData>
            </a:graphic>
          </wp:inline>
        </w:drawing>
      </w:r>
    </w:p>
    <w:p w14:paraId="3E49523A" w14:textId="18B345DE" w:rsidR="0040187E" w:rsidRDefault="00D41D43" w:rsidP="0040187E">
      <w:pPr>
        <w:rPr>
          <w:sz w:val="20"/>
          <w:szCs w:val="20"/>
        </w:rPr>
      </w:pPr>
      <w:r w:rsidRPr="00945EB5">
        <w:rPr>
          <w:sz w:val="20"/>
          <w:szCs w:val="20"/>
        </w:rPr>
        <w:t>Figure 5. 2019 vs. 2020 pie chart</w:t>
      </w:r>
      <w:r w:rsidR="00945EB5" w:rsidRPr="00945EB5">
        <w:rPr>
          <w:sz w:val="20"/>
          <w:szCs w:val="20"/>
        </w:rPr>
        <w:t xml:space="preserve"> property type in foreclosure</w:t>
      </w:r>
      <w:r w:rsidR="0040187E">
        <w:rPr>
          <w:rFonts w:ascii="Calibri" w:hAnsi="Calibri" w:cs="Calibri"/>
          <w:color w:val="000000"/>
          <w:sz w:val="22"/>
          <w:szCs w:val="22"/>
          <w:shd w:val="clear" w:color="auto" w:fill="FFFFFF"/>
        </w:rPr>
        <w:br/>
      </w:r>
      <w:r w:rsidR="007D7CBB">
        <w:rPr>
          <w:b/>
          <w:bCs/>
          <w:sz w:val="22"/>
          <w:szCs w:val="22"/>
        </w:rPr>
        <w:t>6.</w:t>
      </w:r>
      <w:r w:rsidR="00C31425">
        <w:rPr>
          <w:b/>
          <w:bCs/>
          <w:sz w:val="22"/>
          <w:szCs w:val="22"/>
        </w:rPr>
        <w:t>5</w:t>
      </w:r>
    </w:p>
    <w:p w14:paraId="0BD4B0A3" w14:textId="4F87751F" w:rsidR="007D7CBB" w:rsidRPr="007D7CBB" w:rsidRDefault="007D7CBB" w:rsidP="007D7CBB">
      <w:pPr>
        <w:ind w:firstLine="360"/>
        <w:rPr>
          <w:sz w:val="20"/>
          <w:szCs w:val="20"/>
        </w:rPr>
      </w:pPr>
      <w:r w:rsidRPr="007D7CBB">
        <w:rPr>
          <w:sz w:val="20"/>
          <w:szCs w:val="20"/>
        </w:rPr>
        <w:t>The graphs below show the time series analysis and forecast for 2019 and 2020 foreclosure properties.  They show council districts and property zip</w:t>
      </w:r>
      <w:r w:rsidR="00E40C70">
        <w:rPr>
          <w:sz w:val="20"/>
          <w:szCs w:val="20"/>
        </w:rPr>
        <w:t xml:space="preserve"> </w:t>
      </w:r>
      <w:r w:rsidR="00CC1204">
        <w:rPr>
          <w:sz w:val="20"/>
          <w:szCs w:val="20"/>
        </w:rPr>
        <w:t>code</w:t>
      </w:r>
      <w:r w:rsidRPr="007D7CBB">
        <w:rPr>
          <w:sz w:val="20"/>
          <w:szCs w:val="20"/>
        </w:rPr>
        <w:t xml:space="preserve"> per registered date. In 2019 we can observe a high average in the forecast with property zip codes. Which correlates current events as many lost jobs or lower hours, so they took less home.  This in effect changed the forecast because house foreclosure was on the rise.  In 2020 the foreclosure forecast shows a lower than average. This correlates with the governmental foreclosure help that the CARE act</w:t>
      </w:r>
      <w:r w:rsidR="00E65A96">
        <w:rPr>
          <w:sz w:val="20"/>
          <w:szCs w:val="20"/>
        </w:rPr>
        <w:t xml:space="preserve"> provided</w:t>
      </w:r>
      <w:r w:rsidRPr="007D7CBB">
        <w:rPr>
          <w:sz w:val="20"/>
          <w:szCs w:val="20"/>
        </w:rPr>
        <w:t xml:space="preserve">. It paused foreclosure process and helped save some homeowners by providing different options.  </w:t>
      </w:r>
    </w:p>
    <w:p w14:paraId="76FD1EB1" w14:textId="23E8C3CE" w:rsidR="007D7CBB" w:rsidRDefault="007D7CBB" w:rsidP="007D7CBB">
      <w:r>
        <w:rPr>
          <w:noProof/>
          <w:color w:val="000000"/>
          <w:sz w:val="20"/>
          <w:szCs w:val="20"/>
          <w:shd w:val="clear" w:color="auto" w:fill="FFFFFF"/>
        </w:rPr>
        <w:drawing>
          <wp:inline distT="0" distB="0" distL="0" distR="0" wp14:anchorId="2D3C2250" wp14:editId="08D7BFCB">
            <wp:extent cx="2544023" cy="1830144"/>
            <wp:effectExtent l="0" t="0" r="0"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69216" cy="1848268"/>
                    </a:xfrm>
                    <a:prstGeom prst="rect">
                      <a:avLst/>
                    </a:prstGeom>
                    <a:noFill/>
                    <a:ln>
                      <a:noFill/>
                    </a:ln>
                  </pic:spPr>
                </pic:pic>
              </a:graphicData>
            </a:graphic>
          </wp:inline>
        </w:drawing>
      </w:r>
      <w:r>
        <w:rPr>
          <w:rFonts w:ascii="Calibri" w:hAnsi="Calibri" w:cs="Calibri"/>
          <w:color w:val="000000"/>
          <w:sz w:val="22"/>
          <w:szCs w:val="22"/>
          <w:shd w:val="clear" w:color="auto" w:fill="FFFFFF"/>
        </w:rPr>
        <w:br/>
      </w:r>
    </w:p>
    <w:p w14:paraId="1DF6A4A6" w14:textId="5BBD363B" w:rsidR="007D7CBB" w:rsidRDefault="007D7CBB" w:rsidP="007D7CBB">
      <w:r>
        <w:rPr>
          <w:noProof/>
          <w:color w:val="000000"/>
          <w:sz w:val="20"/>
          <w:szCs w:val="20"/>
          <w:shd w:val="clear" w:color="auto" w:fill="FFFFFF"/>
        </w:rPr>
        <w:drawing>
          <wp:inline distT="0" distB="0" distL="0" distR="0" wp14:anchorId="5AC3A0A4" wp14:editId="18CD0609">
            <wp:extent cx="2372008" cy="2053011"/>
            <wp:effectExtent l="0" t="0" r="3175" b="4445"/>
            <wp:docPr id="11" name="Picture 11"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box and whisker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12130" cy="2087737"/>
                    </a:xfrm>
                    <a:prstGeom prst="rect">
                      <a:avLst/>
                    </a:prstGeom>
                    <a:noFill/>
                    <a:ln>
                      <a:noFill/>
                    </a:ln>
                  </pic:spPr>
                </pic:pic>
              </a:graphicData>
            </a:graphic>
          </wp:inline>
        </w:drawing>
      </w:r>
      <w:r>
        <w:rPr>
          <w:rFonts w:ascii="Calibri" w:hAnsi="Calibri" w:cs="Calibri"/>
          <w:color w:val="000000"/>
          <w:sz w:val="22"/>
          <w:szCs w:val="22"/>
          <w:shd w:val="clear" w:color="auto" w:fill="FFFFFF"/>
        </w:rPr>
        <w:br/>
      </w:r>
      <w:r w:rsidR="00642905" w:rsidRPr="00642905">
        <w:rPr>
          <w:sz w:val="20"/>
          <w:szCs w:val="20"/>
        </w:rPr>
        <w:t>Figure 6. 2019 vs. 2020 time series to forecast</w:t>
      </w:r>
    </w:p>
    <w:p w14:paraId="7E69FD5A" w14:textId="77777777" w:rsidR="007D138A" w:rsidRDefault="007D138A" w:rsidP="00C31425">
      <w:pPr>
        <w:pStyle w:val="paragraph"/>
        <w:spacing w:before="0" w:beforeAutospacing="0" w:after="0" w:afterAutospacing="0"/>
        <w:textAlignment w:val="baseline"/>
        <w:rPr>
          <w:b/>
          <w:bCs/>
          <w:sz w:val="22"/>
          <w:szCs w:val="22"/>
        </w:rPr>
      </w:pPr>
    </w:p>
    <w:p w14:paraId="5A5829F3" w14:textId="4AAD88E8" w:rsidR="00C31425" w:rsidRDefault="00C31425" w:rsidP="00C31425">
      <w:pPr>
        <w:pStyle w:val="paragraph"/>
        <w:spacing w:before="0" w:beforeAutospacing="0" w:after="0" w:afterAutospacing="0"/>
        <w:textAlignment w:val="baseline"/>
        <w:rPr>
          <w:sz w:val="20"/>
          <w:szCs w:val="20"/>
        </w:rPr>
      </w:pPr>
      <w:r>
        <w:rPr>
          <w:b/>
          <w:bCs/>
          <w:sz w:val="22"/>
          <w:szCs w:val="22"/>
        </w:rPr>
        <w:lastRenderedPageBreak/>
        <w:t>6.</w:t>
      </w:r>
      <w:r>
        <w:rPr>
          <w:b/>
          <w:bCs/>
          <w:sz w:val="22"/>
          <w:szCs w:val="22"/>
        </w:rPr>
        <w:t>6</w:t>
      </w:r>
    </w:p>
    <w:p w14:paraId="034E40F3" w14:textId="28482AF0" w:rsidR="00C31425" w:rsidRDefault="00C31425" w:rsidP="00C31425">
      <w:pPr>
        <w:pStyle w:val="paragraph"/>
        <w:spacing w:before="0" w:beforeAutospacing="0" w:after="0" w:afterAutospacing="0"/>
        <w:ind w:firstLine="360"/>
        <w:textAlignment w:val="baseline"/>
        <w:rPr>
          <w:sz w:val="20"/>
          <w:szCs w:val="20"/>
        </w:rPr>
      </w:pPr>
      <w:r w:rsidRPr="008D45C0">
        <w:rPr>
          <w:sz w:val="20"/>
          <w:szCs w:val="20"/>
        </w:rPr>
        <w:t xml:space="preserve">Using the Los Angeles County foreclosure date for 2020 a predictive by city foreclosure model was created using regression analysis. The Council District is used as the predictive goal. The root </w:t>
      </w:r>
      <w:proofErr w:type="gramStart"/>
      <w:r w:rsidRPr="008D45C0">
        <w:rPr>
          <w:sz w:val="20"/>
          <w:szCs w:val="20"/>
        </w:rPr>
        <w:t>mean</w:t>
      </w:r>
      <w:proofErr w:type="gramEnd"/>
      <w:r w:rsidRPr="008D45C0">
        <w:rPr>
          <w:sz w:val="20"/>
          <w:szCs w:val="20"/>
        </w:rPr>
        <w:t xml:space="preserve"> square error (RMSE) came to 2.28, were the closer to zero it is, the better the model due to fewer errors</w:t>
      </w:r>
      <w:r w:rsidR="00E65A96">
        <w:rPr>
          <w:sz w:val="20"/>
          <w:szCs w:val="20"/>
        </w:rPr>
        <w:t xml:space="preserve">. </w:t>
      </w:r>
      <w:r w:rsidRPr="008D45C0">
        <w:rPr>
          <w:sz w:val="20"/>
          <w:szCs w:val="20"/>
        </w:rPr>
        <w:t xml:space="preserve">The low score showcased how minimal the error </w:t>
      </w:r>
      <w:r w:rsidR="009A238A" w:rsidRPr="008D45C0">
        <w:rPr>
          <w:sz w:val="20"/>
          <w:szCs w:val="20"/>
        </w:rPr>
        <w:t>is</w:t>
      </w:r>
      <w:r w:rsidRPr="008D45C0">
        <w:rPr>
          <w:sz w:val="20"/>
          <w:szCs w:val="20"/>
        </w:rPr>
        <w:t xml:space="preserve"> in the model when comparing predictive vs. actual data. Prediction confidence is 91.10%. Prediction confidence measures if the predictive model can make the predictions with reliability; 100% is ideal. </w:t>
      </w:r>
      <w:r w:rsidR="00E65A96">
        <w:rPr>
          <w:sz w:val="20"/>
          <w:szCs w:val="20"/>
        </w:rPr>
        <w:t xml:space="preserve">In figure 8, </w:t>
      </w:r>
      <w:r w:rsidRPr="008D45C0">
        <w:rPr>
          <w:sz w:val="20"/>
          <w:szCs w:val="20"/>
        </w:rPr>
        <w:t>we can also see the influencers that contributed to the analysis as well as the predicted vs actual chart that shows the Validation Errors. The predictive values model is visualized by the story with the doughnut chart (Figure</w:t>
      </w:r>
      <w:r w:rsidR="00E65A96">
        <w:rPr>
          <w:sz w:val="20"/>
          <w:szCs w:val="20"/>
        </w:rPr>
        <w:t xml:space="preserve"> 9</w:t>
      </w:r>
      <w:r w:rsidRPr="008D45C0">
        <w:rPr>
          <w:sz w:val="20"/>
          <w:szCs w:val="20"/>
        </w:rPr>
        <w:t xml:space="preserve">), illustrates that the main 3 cities predicted to have the most foreclosure properties are Los Angeles, San </w:t>
      </w:r>
      <w:proofErr w:type="gramStart"/>
      <w:r w:rsidRPr="008D45C0">
        <w:rPr>
          <w:sz w:val="20"/>
          <w:szCs w:val="20"/>
        </w:rPr>
        <w:t>Pedro</w:t>
      </w:r>
      <w:proofErr w:type="gramEnd"/>
      <w:r w:rsidRPr="008D45C0">
        <w:rPr>
          <w:sz w:val="20"/>
          <w:szCs w:val="20"/>
        </w:rPr>
        <w:t xml:space="preserve"> and Van Nuys.</w:t>
      </w:r>
    </w:p>
    <w:p w14:paraId="5FB48E30" w14:textId="390F09B2" w:rsidR="00835B05" w:rsidRDefault="00C31425" w:rsidP="00835B05">
      <w:r>
        <w:rPr>
          <w:noProof/>
          <w:sz w:val="20"/>
          <w:szCs w:val="20"/>
        </w:rPr>
        <w:drawing>
          <wp:inline distT="0" distB="0" distL="0" distR="0" wp14:anchorId="1CBE4B8B" wp14:editId="0ADAEB14">
            <wp:extent cx="3162286" cy="525293"/>
            <wp:effectExtent l="0" t="0" r="63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3238" cy="530434"/>
                    </a:xfrm>
                    <a:prstGeom prst="rect">
                      <a:avLst/>
                    </a:prstGeom>
                    <a:noFill/>
                    <a:ln>
                      <a:noFill/>
                    </a:ln>
                  </pic:spPr>
                </pic:pic>
              </a:graphicData>
            </a:graphic>
          </wp:inline>
        </w:drawing>
      </w:r>
    </w:p>
    <w:p w14:paraId="10F3CE5B" w14:textId="79D8136D" w:rsidR="00175CF7" w:rsidRPr="00175CF7" w:rsidRDefault="00175CF7" w:rsidP="00835B05">
      <w:pPr>
        <w:rPr>
          <w:sz w:val="20"/>
          <w:szCs w:val="20"/>
        </w:rPr>
      </w:pPr>
      <w:r w:rsidRPr="00175CF7">
        <w:rPr>
          <w:sz w:val="20"/>
          <w:szCs w:val="20"/>
        </w:rPr>
        <w:t xml:space="preserve">Figure 7. </w:t>
      </w:r>
      <w:r w:rsidR="00E65A96">
        <w:rPr>
          <w:sz w:val="20"/>
          <w:szCs w:val="20"/>
        </w:rPr>
        <w:t xml:space="preserve">Regression: </w:t>
      </w:r>
      <w:r w:rsidRPr="00175CF7">
        <w:rPr>
          <w:sz w:val="20"/>
          <w:szCs w:val="20"/>
        </w:rPr>
        <w:t>Global performance indicators</w:t>
      </w:r>
    </w:p>
    <w:p w14:paraId="158F7C34" w14:textId="7E67DE09" w:rsidR="00C31425" w:rsidRDefault="00C31425" w:rsidP="00835B05">
      <w:r>
        <w:rPr>
          <w:rFonts w:ascii="Calibri" w:hAnsi="Calibri" w:cs="Calibri"/>
          <w:noProof/>
          <w:color w:val="000000"/>
          <w:sz w:val="22"/>
          <w:szCs w:val="22"/>
          <w:shd w:val="clear" w:color="auto" w:fill="FFFFFF"/>
        </w:rPr>
        <w:drawing>
          <wp:inline distT="0" distB="0" distL="0" distR="0" wp14:anchorId="0C46C582" wp14:editId="1213BAE9">
            <wp:extent cx="2937753" cy="2026026"/>
            <wp:effectExtent l="0" t="0" r="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6396" cy="2080262"/>
                    </a:xfrm>
                    <a:prstGeom prst="rect">
                      <a:avLst/>
                    </a:prstGeom>
                    <a:noFill/>
                    <a:ln>
                      <a:noFill/>
                    </a:ln>
                  </pic:spPr>
                </pic:pic>
              </a:graphicData>
            </a:graphic>
          </wp:inline>
        </w:drawing>
      </w:r>
    </w:p>
    <w:p w14:paraId="71BE0B4F" w14:textId="6219A2F9" w:rsidR="00175CF7" w:rsidRPr="00175CF7" w:rsidRDefault="00175CF7" w:rsidP="00835B05">
      <w:pPr>
        <w:rPr>
          <w:sz w:val="20"/>
          <w:szCs w:val="20"/>
        </w:rPr>
      </w:pPr>
      <w:r w:rsidRPr="00175CF7">
        <w:rPr>
          <w:sz w:val="20"/>
          <w:szCs w:val="20"/>
        </w:rPr>
        <w:t>Figure 8.</w:t>
      </w:r>
      <w:r w:rsidR="00E65A96">
        <w:rPr>
          <w:sz w:val="20"/>
          <w:szCs w:val="20"/>
        </w:rPr>
        <w:t xml:space="preserve"> Regression:</w:t>
      </w:r>
      <w:r w:rsidRPr="00175CF7">
        <w:rPr>
          <w:sz w:val="20"/>
          <w:szCs w:val="20"/>
        </w:rPr>
        <w:t xml:space="preserve"> Influencer contribution</w:t>
      </w:r>
    </w:p>
    <w:p w14:paraId="19891F4E" w14:textId="4FE57BF8" w:rsidR="00C31425" w:rsidRDefault="00C31425" w:rsidP="00835B05">
      <w:r>
        <w:rPr>
          <w:rFonts w:ascii="Calibri" w:hAnsi="Calibri" w:cs="Calibri"/>
          <w:noProof/>
          <w:color w:val="000000"/>
          <w:sz w:val="22"/>
          <w:szCs w:val="22"/>
          <w:shd w:val="clear" w:color="auto" w:fill="FFFFFF"/>
        </w:rPr>
        <w:drawing>
          <wp:inline distT="0" distB="0" distL="0" distR="0" wp14:anchorId="63D295B1" wp14:editId="1521E1F0">
            <wp:extent cx="2383277" cy="2086443"/>
            <wp:effectExtent l="0" t="0" r="4445" b="0"/>
            <wp:docPr id="3" name="Picture 3"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unburst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1362" cy="2137293"/>
                    </a:xfrm>
                    <a:prstGeom prst="rect">
                      <a:avLst/>
                    </a:prstGeom>
                    <a:noFill/>
                    <a:ln>
                      <a:noFill/>
                    </a:ln>
                  </pic:spPr>
                </pic:pic>
              </a:graphicData>
            </a:graphic>
          </wp:inline>
        </w:drawing>
      </w:r>
    </w:p>
    <w:p w14:paraId="31D1B362" w14:textId="33E3218B" w:rsidR="00175CF7" w:rsidRDefault="00175CF7" w:rsidP="00835B05">
      <w:pPr>
        <w:rPr>
          <w:sz w:val="20"/>
          <w:szCs w:val="20"/>
        </w:rPr>
      </w:pPr>
      <w:r w:rsidRPr="00175CF7">
        <w:rPr>
          <w:sz w:val="20"/>
          <w:szCs w:val="20"/>
        </w:rPr>
        <w:t>Figure 9. Predicted cities with the most foreclosures</w:t>
      </w:r>
    </w:p>
    <w:p w14:paraId="2B8A9C0D" w14:textId="77777777" w:rsidR="00DF6A4F" w:rsidRPr="00175CF7" w:rsidRDefault="00DF6A4F" w:rsidP="00835B05">
      <w:pPr>
        <w:rPr>
          <w:sz w:val="20"/>
          <w:szCs w:val="20"/>
        </w:rPr>
      </w:pPr>
    </w:p>
    <w:p w14:paraId="7409B00B" w14:textId="7F916E4B" w:rsidR="00883335" w:rsidRDefault="00883335" w:rsidP="00883335">
      <w:pPr>
        <w:pStyle w:val="paragraph"/>
        <w:numPr>
          <w:ilvl w:val="0"/>
          <w:numId w:val="1"/>
        </w:numPr>
        <w:spacing w:before="0" w:beforeAutospacing="0" w:after="0" w:afterAutospacing="0"/>
        <w:jc w:val="center"/>
        <w:textAlignment w:val="baseline"/>
        <w:rPr>
          <w:rStyle w:val="normaltextrun"/>
          <w:b/>
          <w:bCs/>
        </w:rPr>
      </w:pPr>
      <w:r w:rsidRPr="00883335">
        <w:rPr>
          <w:rStyle w:val="normaltextrun"/>
          <w:b/>
          <w:bCs/>
        </w:rPr>
        <w:t>Conclusion</w:t>
      </w:r>
    </w:p>
    <w:p w14:paraId="09412FB5" w14:textId="62E84C4C" w:rsidR="00DF6A4F" w:rsidRPr="00DC6467" w:rsidRDefault="00DC6467" w:rsidP="00DF6A4F">
      <w:pPr>
        <w:pStyle w:val="paragraph"/>
        <w:spacing w:before="0" w:beforeAutospacing="0" w:after="0" w:afterAutospacing="0"/>
        <w:textAlignment w:val="baseline"/>
        <w:rPr>
          <w:sz w:val="20"/>
          <w:szCs w:val="20"/>
        </w:rPr>
      </w:pPr>
      <w:bookmarkStart w:id="0" w:name="OLE_LINK3"/>
      <w:bookmarkStart w:id="1" w:name="OLE_LINK4"/>
      <w:bookmarkStart w:id="2" w:name="OLE_LINK5"/>
      <w:bookmarkStart w:id="3" w:name="OLE_LINK6"/>
      <w:proofErr w:type="gramStart"/>
      <w:r>
        <w:rPr>
          <w:sz w:val="20"/>
          <w:szCs w:val="20"/>
        </w:rPr>
        <w:t>Finally</w:t>
      </w:r>
      <w:proofErr w:type="gramEnd"/>
      <w:r>
        <w:rPr>
          <w:sz w:val="20"/>
          <w:szCs w:val="20"/>
        </w:rPr>
        <w:t xml:space="preserve"> to sum up our analysis, we can conclude that foreclosures are forecasted to increase in 2021</w:t>
      </w:r>
      <w:r w:rsidR="00155636">
        <w:rPr>
          <w:sz w:val="20"/>
          <w:szCs w:val="20"/>
        </w:rPr>
        <w:t xml:space="preserve"> and onward. </w:t>
      </w:r>
      <w:bookmarkEnd w:id="2"/>
      <w:bookmarkEnd w:id="3"/>
      <w:r w:rsidR="00496C95" w:rsidRPr="00496C95">
        <w:rPr>
          <w:sz w:val="20"/>
          <w:szCs w:val="20"/>
        </w:rPr>
        <w:t>The analysis shows that the number of foreclosures decreased in 2020 due to the government mortgage relief program. However, the number of foreclosures is predicted to increase in certain cities more than other</w:t>
      </w:r>
      <w:r w:rsidR="00496C95">
        <w:rPr>
          <w:sz w:val="20"/>
          <w:szCs w:val="20"/>
        </w:rPr>
        <w:t>s</w:t>
      </w:r>
      <w:r w:rsidR="00496C95" w:rsidRPr="00496C95">
        <w:rPr>
          <w:sz w:val="20"/>
          <w:szCs w:val="20"/>
        </w:rPr>
        <w:t xml:space="preserve"> due to income disparity and current economic conditions.</w:t>
      </w:r>
      <w:r w:rsidR="00496C95">
        <w:rPr>
          <w:sz w:val="20"/>
          <w:szCs w:val="20"/>
        </w:rPr>
        <w:t xml:space="preserve"> </w:t>
      </w:r>
      <w:r w:rsidR="006F5AA5">
        <w:rPr>
          <w:sz w:val="20"/>
          <w:szCs w:val="20"/>
        </w:rPr>
        <w:t xml:space="preserve">Ultimately, this is the sellers’ market. </w:t>
      </w:r>
    </w:p>
    <w:bookmarkEnd w:id="0"/>
    <w:bookmarkEnd w:id="1"/>
    <w:p w14:paraId="32B3900E" w14:textId="41D973D6" w:rsidR="00883335" w:rsidRDefault="00883335" w:rsidP="00883335">
      <w:pPr>
        <w:pStyle w:val="paragraph"/>
        <w:numPr>
          <w:ilvl w:val="0"/>
          <w:numId w:val="1"/>
        </w:numPr>
        <w:spacing w:before="0" w:beforeAutospacing="0" w:after="0" w:afterAutospacing="0"/>
        <w:jc w:val="center"/>
        <w:textAlignment w:val="baseline"/>
        <w:rPr>
          <w:rStyle w:val="normaltextrun"/>
          <w:b/>
          <w:bCs/>
        </w:rPr>
      </w:pPr>
      <w:r w:rsidRPr="00883335">
        <w:rPr>
          <w:rStyle w:val="normaltextrun"/>
          <w:b/>
          <w:bCs/>
        </w:rPr>
        <w:t>References</w:t>
      </w:r>
    </w:p>
    <w:p w14:paraId="3A4CFBCC" w14:textId="653C346B" w:rsidR="00526DF9" w:rsidRPr="00526DF9" w:rsidRDefault="0088178B" w:rsidP="00526DF9">
      <w:pPr>
        <w:spacing w:before="100" w:beforeAutospacing="1" w:after="100" w:afterAutospacing="1"/>
        <w:ind w:left="567" w:hanging="567"/>
        <w:rPr>
          <w:sz w:val="20"/>
          <w:szCs w:val="20"/>
        </w:rPr>
      </w:pPr>
      <w:r>
        <w:rPr>
          <w:sz w:val="20"/>
          <w:szCs w:val="20"/>
        </w:rPr>
        <w:t xml:space="preserve">[1] </w:t>
      </w:r>
      <w:r w:rsidR="00526DF9" w:rsidRPr="00526DF9">
        <w:rPr>
          <w:sz w:val="20"/>
          <w:szCs w:val="20"/>
        </w:rPr>
        <w:t xml:space="preserve">Department, Los Angeles Housing. “2019 Registered Foreclosure Properties: Los Angeles - Open Data Portal.” </w:t>
      </w:r>
      <w:r w:rsidR="00526DF9" w:rsidRPr="00526DF9">
        <w:rPr>
          <w:i/>
          <w:iCs/>
          <w:sz w:val="20"/>
          <w:szCs w:val="20"/>
        </w:rPr>
        <w:t>Data.lacity.org</w:t>
      </w:r>
      <w:r w:rsidR="00526DF9" w:rsidRPr="00526DF9">
        <w:rPr>
          <w:sz w:val="20"/>
          <w:szCs w:val="20"/>
        </w:rPr>
        <w:t xml:space="preserve">, 6 Jan. 2020, </w:t>
      </w:r>
      <w:hyperlink r:id="rId23" w:history="1">
        <w:r w:rsidR="00526DF9" w:rsidRPr="00526DF9">
          <w:rPr>
            <w:rStyle w:val="Hyperlink"/>
            <w:sz w:val="20"/>
            <w:szCs w:val="20"/>
          </w:rPr>
          <w:t>https://data.lacity.org/Housing-and-Real-Estate/2019-Registered-Foreclosure-Properties/rsxb-x48z</w:t>
        </w:r>
      </w:hyperlink>
      <w:r w:rsidR="00526DF9" w:rsidRPr="00526DF9">
        <w:rPr>
          <w:sz w:val="20"/>
          <w:szCs w:val="20"/>
        </w:rPr>
        <w:t xml:space="preserve">. </w:t>
      </w:r>
    </w:p>
    <w:p w14:paraId="4A8845BF" w14:textId="51B3E6A1" w:rsidR="00526DF9" w:rsidRPr="00526DF9" w:rsidRDefault="0088178B" w:rsidP="00526DF9">
      <w:pPr>
        <w:spacing w:before="100" w:beforeAutospacing="1" w:after="100" w:afterAutospacing="1"/>
        <w:ind w:left="567" w:hanging="567"/>
        <w:rPr>
          <w:sz w:val="20"/>
          <w:szCs w:val="20"/>
        </w:rPr>
      </w:pPr>
      <w:r>
        <w:rPr>
          <w:sz w:val="20"/>
          <w:szCs w:val="20"/>
        </w:rPr>
        <w:t xml:space="preserve">[2] </w:t>
      </w:r>
      <w:r w:rsidR="00526DF9" w:rsidRPr="00526DF9">
        <w:rPr>
          <w:sz w:val="20"/>
          <w:szCs w:val="20"/>
        </w:rPr>
        <w:t xml:space="preserve">Department, Los Angeles Housing. “2020 Registered Foreclosure Properties: Los Angeles - Open Data Portal.” </w:t>
      </w:r>
      <w:r w:rsidR="00526DF9" w:rsidRPr="00526DF9">
        <w:rPr>
          <w:i/>
          <w:iCs/>
          <w:sz w:val="20"/>
          <w:szCs w:val="20"/>
        </w:rPr>
        <w:t>Data.lacity.org</w:t>
      </w:r>
      <w:r w:rsidR="00526DF9" w:rsidRPr="00526DF9">
        <w:rPr>
          <w:sz w:val="20"/>
          <w:szCs w:val="20"/>
        </w:rPr>
        <w:t xml:space="preserve">, 5 Jan. 2021, </w:t>
      </w:r>
      <w:hyperlink r:id="rId24" w:history="1">
        <w:r w:rsidR="00526DF9" w:rsidRPr="00526DF9">
          <w:rPr>
            <w:rStyle w:val="Hyperlink"/>
            <w:sz w:val="20"/>
            <w:szCs w:val="20"/>
          </w:rPr>
          <w:t>https://data.lacity.org/Housing-and-Real-Estate/2020-Registered-Foreclosure-Properties/kde4-k7yx</w:t>
        </w:r>
      </w:hyperlink>
      <w:r w:rsidR="00526DF9" w:rsidRPr="00526DF9">
        <w:rPr>
          <w:sz w:val="20"/>
          <w:szCs w:val="20"/>
        </w:rPr>
        <w:t xml:space="preserve">. </w:t>
      </w:r>
    </w:p>
    <w:p w14:paraId="68E880C8" w14:textId="7DA38EB1" w:rsidR="00526DF9" w:rsidRDefault="0088178B" w:rsidP="00526DF9">
      <w:pPr>
        <w:spacing w:before="100" w:beforeAutospacing="1" w:after="100" w:afterAutospacing="1"/>
        <w:ind w:left="567" w:hanging="567"/>
        <w:rPr>
          <w:sz w:val="20"/>
          <w:szCs w:val="20"/>
        </w:rPr>
      </w:pPr>
      <w:r>
        <w:rPr>
          <w:sz w:val="20"/>
          <w:szCs w:val="20"/>
        </w:rPr>
        <w:t xml:space="preserve">[3] </w:t>
      </w:r>
      <w:r w:rsidR="00526DF9" w:rsidRPr="00526DF9">
        <w:rPr>
          <w:sz w:val="20"/>
          <w:szCs w:val="20"/>
        </w:rPr>
        <w:t xml:space="preserve">Leverage, Ad. “How Has Covid-19 Affected the Los Angeles Housing Market? - United Dwelling </w:t>
      </w:r>
      <w:proofErr w:type="spellStart"/>
      <w:r w:rsidR="00526DF9" w:rsidRPr="00526DF9">
        <w:rPr>
          <w:sz w:val="20"/>
          <w:szCs w:val="20"/>
        </w:rPr>
        <w:t>Adu</w:t>
      </w:r>
      <w:proofErr w:type="spellEnd"/>
      <w:r w:rsidR="00526DF9" w:rsidRPr="00526DF9">
        <w:rPr>
          <w:sz w:val="20"/>
          <w:szCs w:val="20"/>
        </w:rPr>
        <w:t xml:space="preserve">: Accessory Dwelling Units: Los Angeles, CA.” </w:t>
      </w:r>
      <w:r w:rsidR="00526DF9" w:rsidRPr="00526DF9">
        <w:rPr>
          <w:i/>
          <w:iCs/>
          <w:sz w:val="20"/>
          <w:szCs w:val="20"/>
        </w:rPr>
        <w:t>United Dwelling</w:t>
      </w:r>
      <w:r w:rsidR="00526DF9" w:rsidRPr="00526DF9">
        <w:rPr>
          <w:sz w:val="20"/>
          <w:szCs w:val="20"/>
        </w:rPr>
        <w:t xml:space="preserve">, United Dwelling, 29 Jan. 2022, </w:t>
      </w:r>
      <w:hyperlink r:id="rId25" w:history="1">
        <w:r w:rsidR="00526DF9" w:rsidRPr="00526DF9">
          <w:rPr>
            <w:rStyle w:val="Hyperlink"/>
            <w:sz w:val="20"/>
            <w:szCs w:val="20"/>
          </w:rPr>
          <w:t>https://www.uniteddwelling.com/blog/how-covid-affected-los-angeles-housing-market</w:t>
        </w:r>
      </w:hyperlink>
      <w:r w:rsidR="00526DF9" w:rsidRPr="00526DF9">
        <w:rPr>
          <w:sz w:val="20"/>
          <w:szCs w:val="20"/>
        </w:rPr>
        <w:t xml:space="preserve">. </w:t>
      </w:r>
    </w:p>
    <w:p w14:paraId="2A3E7F5E" w14:textId="4B56021F" w:rsidR="009454E4" w:rsidRPr="004B0D81" w:rsidRDefault="0088178B" w:rsidP="00E84DE2">
      <w:pPr>
        <w:spacing w:before="100" w:beforeAutospacing="1" w:after="100" w:afterAutospacing="1"/>
        <w:ind w:left="567" w:hanging="567"/>
        <w:rPr>
          <w:sz w:val="20"/>
          <w:szCs w:val="20"/>
        </w:rPr>
      </w:pPr>
      <w:r>
        <w:rPr>
          <w:sz w:val="20"/>
          <w:szCs w:val="20"/>
        </w:rPr>
        <w:t xml:space="preserve">[4] </w:t>
      </w:r>
      <w:r w:rsidR="005A0FBF" w:rsidRPr="005A0FBF">
        <w:rPr>
          <w:sz w:val="20"/>
          <w:szCs w:val="20"/>
        </w:rPr>
        <w:t xml:space="preserve">LLC, RealtyTrac. “Foreclosure Listings, Foreclosed Homes for Sale.” </w:t>
      </w:r>
      <w:r w:rsidR="005A0FBF" w:rsidRPr="005A0FBF">
        <w:rPr>
          <w:i/>
          <w:iCs/>
          <w:sz w:val="20"/>
          <w:szCs w:val="20"/>
        </w:rPr>
        <w:t>RealtyTrac</w:t>
      </w:r>
      <w:r w:rsidR="005A0FBF" w:rsidRPr="005A0FBF">
        <w:rPr>
          <w:sz w:val="20"/>
          <w:szCs w:val="20"/>
        </w:rPr>
        <w:t xml:space="preserve">, </w:t>
      </w:r>
      <w:hyperlink r:id="rId26" w:history="1">
        <w:r w:rsidR="005A0FBF" w:rsidRPr="005A0FBF">
          <w:rPr>
            <w:rStyle w:val="Hyperlink"/>
            <w:sz w:val="20"/>
            <w:szCs w:val="20"/>
          </w:rPr>
          <w:t>https://www.realtytrac.com/foreclosures/los-angeles-ca/</w:t>
        </w:r>
      </w:hyperlink>
      <w:r w:rsidR="005A0FBF" w:rsidRPr="005A0FBF">
        <w:rPr>
          <w:sz w:val="20"/>
          <w:szCs w:val="20"/>
        </w:rPr>
        <w:t xml:space="preserve">. </w:t>
      </w:r>
      <w:r w:rsidR="009454E4" w:rsidRPr="009454E4">
        <w:rPr>
          <w:sz w:val="20"/>
          <w:szCs w:val="20"/>
        </w:rPr>
        <w:t xml:space="preserve"> </w:t>
      </w:r>
    </w:p>
    <w:p w14:paraId="73C4B7FB" w14:textId="2B59025D" w:rsidR="00745EFB" w:rsidRPr="004E49ED" w:rsidRDefault="00D4745C" w:rsidP="004E49ED">
      <w:pPr>
        <w:pStyle w:val="NormalWeb"/>
        <w:ind w:left="567" w:hanging="567"/>
        <w:rPr>
          <w:sz w:val="20"/>
          <w:szCs w:val="20"/>
        </w:rPr>
      </w:pPr>
      <w:r>
        <w:rPr>
          <w:sz w:val="20"/>
          <w:szCs w:val="20"/>
        </w:rPr>
        <w:t>[</w:t>
      </w:r>
      <w:r w:rsidR="00E84DE2">
        <w:rPr>
          <w:sz w:val="20"/>
          <w:szCs w:val="20"/>
        </w:rPr>
        <w:t>5</w:t>
      </w:r>
      <w:r>
        <w:rPr>
          <w:sz w:val="20"/>
          <w:szCs w:val="20"/>
        </w:rPr>
        <w:t xml:space="preserve">] </w:t>
      </w:r>
      <w:r w:rsidR="00240403" w:rsidRPr="00240403">
        <w:rPr>
          <w:sz w:val="20"/>
          <w:szCs w:val="20"/>
        </w:rPr>
        <w:t xml:space="preserve">“Los Angeles Real Estate Market Report 2019.” </w:t>
      </w:r>
      <w:proofErr w:type="spellStart"/>
      <w:r w:rsidR="00240403" w:rsidRPr="00240403">
        <w:rPr>
          <w:i/>
          <w:iCs/>
          <w:sz w:val="20"/>
          <w:szCs w:val="20"/>
        </w:rPr>
        <w:t>Mashvisor</w:t>
      </w:r>
      <w:proofErr w:type="spellEnd"/>
      <w:r w:rsidR="00240403" w:rsidRPr="00240403">
        <w:rPr>
          <w:sz w:val="20"/>
          <w:szCs w:val="20"/>
        </w:rPr>
        <w:t xml:space="preserve">, </w:t>
      </w:r>
      <w:bookmarkStart w:id="4" w:name="OLE_LINK1"/>
      <w:bookmarkStart w:id="5" w:name="OLE_LINK2"/>
      <w:r w:rsidR="00240403" w:rsidRPr="00240403">
        <w:rPr>
          <w:sz w:val="20"/>
          <w:szCs w:val="20"/>
        </w:rPr>
        <w:fldChar w:fldCharType="begin"/>
      </w:r>
      <w:r w:rsidR="00240403" w:rsidRPr="00240403">
        <w:rPr>
          <w:sz w:val="20"/>
          <w:szCs w:val="20"/>
        </w:rPr>
        <w:instrText xml:space="preserve"> HYPERLINK "https://www.mashvisor.com/invest/los-angeles-real-estate-market-report/" </w:instrText>
      </w:r>
      <w:r w:rsidR="00240403" w:rsidRPr="00240403">
        <w:rPr>
          <w:sz w:val="20"/>
          <w:szCs w:val="20"/>
        </w:rPr>
      </w:r>
      <w:r w:rsidR="00240403" w:rsidRPr="00240403">
        <w:rPr>
          <w:sz w:val="20"/>
          <w:szCs w:val="20"/>
        </w:rPr>
        <w:fldChar w:fldCharType="separate"/>
      </w:r>
      <w:r w:rsidR="00240403" w:rsidRPr="00240403">
        <w:rPr>
          <w:rStyle w:val="Hyperlink"/>
          <w:sz w:val="20"/>
          <w:szCs w:val="20"/>
        </w:rPr>
        <w:t>https://www.mashvisor.com/invest/los-angeles-real-estate-market-report/</w:t>
      </w:r>
      <w:r w:rsidR="00240403" w:rsidRPr="00240403">
        <w:rPr>
          <w:sz w:val="20"/>
          <w:szCs w:val="20"/>
        </w:rPr>
        <w:fldChar w:fldCharType="end"/>
      </w:r>
      <w:bookmarkEnd w:id="4"/>
      <w:bookmarkEnd w:id="5"/>
      <w:r w:rsidR="00240403" w:rsidRPr="00240403">
        <w:rPr>
          <w:sz w:val="20"/>
          <w:szCs w:val="20"/>
        </w:rPr>
        <w:t xml:space="preserve">. </w:t>
      </w:r>
    </w:p>
    <w:sectPr w:rsidR="00745EFB" w:rsidRPr="004E49ED" w:rsidSect="00E03A7E">
      <w:type w:val="continuous"/>
      <w:pgSz w:w="12240" w:h="15840"/>
      <w:pgMar w:top="1440" w:right="965" w:bottom="1440" w:left="965" w:header="720" w:footer="720" w:gutter="0"/>
      <w:cols w:num="2" w:space="34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C6D89"/>
    <w:multiLevelType w:val="multilevel"/>
    <w:tmpl w:val="C7FEED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7E6270"/>
    <w:multiLevelType w:val="multilevel"/>
    <w:tmpl w:val="5DF605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AF7315"/>
    <w:multiLevelType w:val="multilevel"/>
    <w:tmpl w:val="63646F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AB3C42"/>
    <w:multiLevelType w:val="multilevel"/>
    <w:tmpl w:val="EAA8C7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4602EA"/>
    <w:multiLevelType w:val="multilevel"/>
    <w:tmpl w:val="D2466D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2C0902"/>
    <w:multiLevelType w:val="hybridMultilevel"/>
    <w:tmpl w:val="5B52E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EAF"/>
    <w:rsid w:val="00060226"/>
    <w:rsid w:val="0006369D"/>
    <w:rsid w:val="000665E2"/>
    <w:rsid w:val="00090258"/>
    <w:rsid w:val="000A155C"/>
    <w:rsid w:val="000B2D7B"/>
    <w:rsid w:val="00155636"/>
    <w:rsid w:val="00175CF7"/>
    <w:rsid w:val="001C7EE8"/>
    <w:rsid w:val="002002AA"/>
    <w:rsid w:val="00202C7C"/>
    <w:rsid w:val="0022337B"/>
    <w:rsid w:val="00236B05"/>
    <w:rsid w:val="00240403"/>
    <w:rsid w:val="002849C2"/>
    <w:rsid w:val="00287537"/>
    <w:rsid w:val="00327025"/>
    <w:rsid w:val="00334FFE"/>
    <w:rsid w:val="00337544"/>
    <w:rsid w:val="003677BA"/>
    <w:rsid w:val="003720B4"/>
    <w:rsid w:val="003A1332"/>
    <w:rsid w:val="003E0A1D"/>
    <w:rsid w:val="0040187E"/>
    <w:rsid w:val="004572A5"/>
    <w:rsid w:val="004579F3"/>
    <w:rsid w:val="00496C95"/>
    <w:rsid w:val="00497EAF"/>
    <w:rsid w:val="004B0D81"/>
    <w:rsid w:val="004D4942"/>
    <w:rsid w:val="004E49ED"/>
    <w:rsid w:val="00526DF9"/>
    <w:rsid w:val="00550701"/>
    <w:rsid w:val="00567D4C"/>
    <w:rsid w:val="00575DD0"/>
    <w:rsid w:val="00591477"/>
    <w:rsid w:val="005A0FBF"/>
    <w:rsid w:val="005D24F4"/>
    <w:rsid w:val="00642905"/>
    <w:rsid w:val="00687184"/>
    <w:rsid w:val="006E5973"/>
    <w:rsid w:val="006F4A36"/>
    <w:rsid w:val="006F5AA5"/>
    <w:rsid w:val="0071312A"/>
    <w:rsid w:val="00745EFB"/>
    <w:rsid w:val="00767CCB"/>
    <w:rsid w:val="0079687A"/>
    <w:rsid w:val="007A09FE"/>
    <w:rsid w:val="007B27AE"/>
    <w:rsid w:val="007C1C1A"/>
    <w:rsid w:val="007C46AA"/>
    <w:rsid w:val="007C53E9"/>
    <w:rsid w:val="007D138A"/>
    <w:rsid w:val="007D7CBB"/>
    <w:rsid w:val="007E0F92"/>
    <w:rsid w:val="007F49CE"/>
    <w:rsid w:val="00802FEA"/>
    <w:rsid w:val="00835B05"/>
    <w:rsid w:val="00844DD7"/>
    <w:rsid w:val="00870DC9"/>
    <w:rsid w:val="0088178B"/>
    <w:rsid w:val="00883335"/>
    <w:rsid w:val="008870D7"/>
    <w:rsid w:val="008A423E"/>
    <w:rsid w:val="008D45C0"/>
    <w:rsid w:val="009454E4"/>
    <w:rsid w:val="00945EB5"/>
    <w:rsid w:val="00946EF9"/>
    <w:rsid w:val="009A238A"/>
    <w:rsid w:val="009E2C08"/>
    <w:rsid w:val="00A0263A"/>
    <w:rsid w:val="00A02A12"/>
    <w:rsid w:val="00A067C3"/>
    <w:rsid w:val="00A15F91"/>
    <w:rsid w:val="00A36269"/>
    <w:rsid w:val="00A63266"/>
    <w:rsid w:val="00A70C7B"/>
    <w:rsid w:val="00AA661A"/>
    <w:rsid w:val="00B21B32"/>
    <w:rsid w:val="00B265DB"/>
    <w:rsid w:val="00B61F7D"/>
    <w:rsid w:val="00B65490"/>
    <w:rsid w:val="00BA02FA"/>
    <w:rsid w:val="00BC3319"/>
    <w:rsid w:val="00BD256D"/>
    <w:rsid w:val="00BE7A82"/>
    <w:rsid w:val="00C23A7E"/>
    <w:rsid w:val="00C31425"/>
    <w:rsid w:val="00C41FCF"/>
    <w:rsid w:val="00C734E4"/>
    <w:rsid w:val="00CC1204"/>
    <w:rsid w:val="00D364C6"/>
    <w:rsid w:val="00D41D43"/>
    <w:rsid w:val="00D4745C"/>
    <w:rsid w:val="00D6683A"/>
    <w:rsid w:val="00DA60C5"/>
    <w:rsid w:val="00DC0757"/>
    <w:rsid w:val="00DC6467"/>
    <w:rsid w:val="00DF6A4F"/>
    <w:rsid w:val="00E03A7E"/>
    <w:rsid w:val="00E1477B"/>
    <w:rsid w:val="00E40C70"/>
    <w:rsid w:val="00E53D2A"/>
    <w:rsid w:val="00E65A96"/>
    <w:rsid w:val="00E6649F"/>
    <w:rsid w:val="00E84DE2"/>
    <w:rsid w:val="00E95F83"/>
    <w:rsid w:val="00E969DE"/>
    <w:rsid w:val="00EB39C5"/>
    <w:rsid w:val="00EC5560"/>
    <w:rsid w:val="00EE487D"/>
    <w:rsid w:val="00F37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E24AB3"/>
  <w15:chartTrackingRefBased/>
  <w15:docId w15:val="{232519D6-77B0-244A-8DD1-D66A96AB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C0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6B05"/>
    <w:pPr>
      <w:spacing w:before="100" w:beforeAutospacing="1" w:after="100" w:afterAutospacing="1"/>
    </w:pPr>
  </w:style>
  <w:style w:type="paragraph" w:styleId="ListParagraph">
    <w:name w:val="List Paragraph"/>
    <w:basedOn w:val="Normal"/>
    <w:uiPriority w:val="34"/>
    <w:qFormat/>
    <w:rsid w:val="00236B05"/>
    <w:pPr>
      <w:ind w:left="720"/>
      <w:contextualSpacing/>
    </w:pPr>
  </w:style>
  <w:style w:type="paragraph" w:customStyle="1" w:styleId="SectionHeading">
    <w:name w:val="Section Heading"/>
    <w:autoRedefine/>
    <w:rsid w:val="00A63266"/>
    <w:pPr>
      <w:jc w:val="center"/>
    </w:pPr>
    <w:rPr>
      <w:rFonts w:ascii="Times New Roman" w:eastAsia="Batang" w:hAnsi="Times New Roman" w:cs="Times New Roman"/>
      <w:b/>
      <w:szCs w:val="20"/>
      <w:lang w:eastAsia="ko-KR"/>
    </w:rPr>
  </w:style>
  <w:style w:type="character" w:styleId="Hyperlink">
    <w:name w:val="Hyperlink"/>
    <w:basedOn w:val="DefaultParagraphFont"/>
    <w:uiPriority w:val="99"/>
    <w:unhideWhenUsed/>
    <w:rsid w:val="0071312A"/>
    <w:rPr>
      <w:color w:val="0563C1" w:themeColor="hyperlink"/>
      <w:u w:val="single"/>
    </w:rPr>
  </w:style>
  <w:style w:type="character" w:styleId="UnresolvedMention">
    <w:name w:val="Unresolved Mention"/>
    <w:basedOn w:val="DefaultParagraphFont"/>
    <w:uiPriority w:val="99"/>
    <w:semiHidden/>
    <w:unhideWhenUsed/>
    <w:rsid w:val="0071312A"/>
    <w:rPr>
      <w:color w:val="605E5C"/>
      <w:shd w:val="clear" w:color="auto" w:fill="E1DFDD"/>
    </w:rPr>
  </w:style>
  <w:style w:type="paragraph" w:customStyle="1" w:styleId="paragraph">
    <w:name w:val="paragraph"/>
    <w:basedOn w:val="Normal"/>
    <w:rsid w:val="00883335"/>
    <w:pPr>
      <w:spacing w:before="100" w:beforeAutospacing="1" w:after="100" w:afterAutospacing="1"/>
    </w:pPr>
  </w:style>
  <w:style w:type="character" w:customStyle="1" w:styleId="normaltextrun">
    <w:name w:val="normaltextrun"/>
    <w:basedOn w:val="DefaultParagraphFont"/>
    <w:rsid w:val="00883335"/>
  </w:style>
  <w:style w:type="character" w:customStyle="1" w:styleId="eop">
    <w:name w:val="eop"/>
    <w:basedOn w:val="DefaultParagraphFont"/>
    <w:rsid w:val="00883335"/>
  </w:style>
  <w:style w:type="character" w:customStyle="1" w:styleId="tabchar">
    <w:name w:val="tabchar"/>
    <w:basedOn w:val="DefaultParagraphFont"/>
    <w:rsid w:val="00A70C7B"/>
  </w:style>
  <w:style w:type="character" w:styleId="FollowedHyperlink">
    <w:name w:val="FollowedHyperlink"/>
    <w:basedOn w:val="DefaultParagraphFont"/>
    <w:uiPriority w:val="99"/>
    <w:semiHidden/>
    <w:unhideWhenUsed/>
    <w:rsid w:val="004B0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2389">
      <w:bodyDiv w:val="1"/>
      <w:marLeft w:val="0"/>
      <w:marRight w:val="0"/>
      <w:marTop w:val="0"/>
      <w:marBottom w:val="0"/>
      <w:divBdr>
        <w:top w:val="none" w:sz="0" w:space="0" w:color="auto"/>
        <w:left w:val="none" w:sz="0" w:space="0" w:color="auto"/>
        <w:bottom w:val="none" w:sz="0" w:space="0" w:color="auto"/>
        <w:right w:val="none" w:sz="0" w:space="0" w:color="auto"/>
      </w:divBdr>
      <w:divsChild>
        <w:div w:id="213124436">
          <w:marLeft w:val="0"/>
          <w:marRight w:val="0"/>
          <w:marTop w:val="0"/>
          <w:marBottom w:val="0"/>
          <w:divBdr>
            <w:top w:val="none" w:sz="0" w:space="0" w:color="auto"/>
            <w:left w:val="none" w:sz="0" w:space="0" w:color="auto"/>
            <w:bottom w:val="none" w:sz="0" w:space="0" w:color="auto"/>
            <w:right w:val="none" w:sz="0" w:space="0" w:color="auto"/>
          </w:divBdr>
        </w:div>
        <w:div w:id="2038575508">
          <w:marLeft w:val="0"/>
          <w:marRight w:val="0"/>
          <w:marTop w:val="0"/>
          <w:marBottom w:val="0"/>
          <w:divBdr>
            <w:top w:val="none" w:sz="0" w:space="0" w:color="auto"/>
            <w:left w:val="none" w:sz="0" w:space="0" w:color="auto"/>
            <w:bottom w:val="none" w:sz="0" w:space="0" w:color="auto"/>
            <w:right w:val="none" w:sz="0" w:space="0" w:color="auto"/>
          </w:divBdr>
        </w:div>
      </w:divsChild>
    </w:div>
    <w:div w:id="66657844">
      <w:bodyDiv w:val="1"/>
      <w:marLeft w:val="0"/>
      <w:marRight w:val="0"/>
      <w:marTop w:val="0"/>
      <w:marBottom w:val="0"/>
      <w:divBdr>
        <w:top w:val="none" w:sz="0" w:space="0" w:color="auto"/>
        <w:left w:val="none" w:sz="0" w:space="0" w:color="auto"/>
        <w:bottom w:val="none" w:sz="0" w:space="0" w:color="auto"/>
        <w:right w:val="none" w:sz="0" w:space="0" w:color="auto"/>
      </w:divBdr>
    </w:div>
    <w:div w:id="118424422">
      <w:bodyDiv w:val="1"/>
      <w:marLeft w:val="0"/>
      <w:marRight w:val="0"/>
      <w:marTop w:val="0"/>
      <w:marBottom w:val="0"/>
      <w:divBdr>
        <w:top w:val="none" w:sz="0" w:space="0" w:color="auto"/>
        <w:left w:val="none" w:sz="0" w:space="0" w:color="auto"/>
        <w:bottom w:val="none" w:sz="0" w:space="0" w:color="auto"/>
        <w:right w:val="none" w:sz="0" w:space="0" w:color="auto"/>
      </w:divBdr>
    </w:div>
    <w:div w:id="176161486">
      <w:bodyDiv w:val="1"/>
      <w:marLeft w:val="0"/>
      <w:marRight w:val="0"/>
      <w:marTop w:val="0"/>
      <w:marBottom w:val="0"/>
      <w:divBdr>
        <w:top w:val="none" w:sz="0" w:space="0" w:color="auto"/>
        <w:left w:val="none" w:sz="0" w:space="0" w:color="auto"/>
        <w:bottom w:val="none" w:sz="0" w:space="0" w:color="auto"/>
        <w:right w:val="none" w:sz="0" w:space="0" w:color="auto"/>
      </w:divBdr>
    </w:div>
    <w:div w:id="287206919">
      <w:bodyDiv w:val="1"/>
      <w:marLeft w:val="0"/>
      <w:marRight w:val="0"/>
      <w:marTop w:val="0"/>
      <w:marBottom w:val="0"/>
      <w:divBdr>
        <w:top w:val="none" w:sz="0" w:space="0" w:color="auto"/>
        <w:left w:val="none" w:sz="0" w:space="0" w:color="auto"/>
        <w:bottom w:val="none" w:sz="0" w:space="0" w:color="auto"/>
        <w:right w:val="none" w:sz="0" w:space="0" w:color="auto"/>
      </w:divBdr>
    </w:div>
    <w:div w:id="290676473">
      <w:bodyDiv w:val="1"/>
      <w:marLeft w:val="0"/>
      <w:marRight w:val="0"/>
      <w:marTop w:val="0"/>
      <w:marBottom w:val="0"/>
      <w:divBdr>
        <w:top w:val="none" w:sz="0" w:space="0" w:color="auto"/>
        <w:left w:val="none" w:sz="0" w:space="0" w:color="auto"/>
        <w:bottom w:val="none" w:sz="0" w:space="0" w:color="auto"/>
        <w:right w:val="none" w:sz="0" w:space="0" w:color="auto"/>
      </w:divBdr>
    </w:div>
    <w:div w:id="400179246">
      <w:bodyDiv w:val="1"/>
      <w:marLeft w:val="0"/>
      <w:marRight w:val="0"/>
      <w:marTop w:val="0"/>
      <w:marBottom w:val="0"/>
      <w:divBdr>
        <w:top w:val="none" w:sz="0" w:space="0" w:color="auto"/>
        <w:left w:val="none" w:sz="0" w:space="0" w:color="auto"/>
        <w:bottom w:val="none" w:sz="0" w:space="0" w:color="auto"/>
        <w:right w:val="none" w:sz="0" w:space="0" w:color="auto"/>
      </w:divBdr>
    </w:div>
    <w:div w:id="443312700">
      <w:bodyDiv w:val="1"/>
      <w:marLeft w:val="0"/>
      <w:marRight w:val="0"/>
      <w:marTop w:val="0"/>
      <w:marBottom w:val="0"/>
      <w:divBdr>
        <w:top w:val="none" w:sz="0" w:space="0" w:color="auto"/>
        <w:left w:val="none" w:sz="0" w:space="0" w:color="auto"/>
        <w:bottom w:val="none" w:sz="0" w:space="0" w:color="auto"/>
        <w:right w:val="none" w:sz="0" w:space="0" w:color="auto"/>
      </w:divBdr>
    </w:div>
    <w:div w:id="461965969">
      <w:bodyDiv w:val="1"/>
      <w:marLeft w:val="0"/>
      <w:marRight w:val="0"/>
      <w:marTop w:val="0"/>
      <w:marBottom w:val="0"/>
      <w:divBdr>
        <w:top w:val="none" w:sz="0" w:space="0" w:color="auto"/>
        <w:left w:val="none" w:sz="0" w:space="0" w:color="auto"/>
        <w:bottom w:val="none" w:sz="0" w:space="0" w:color="auto"/>
        <w:right w:val="none" w:sz="0" w:space="0" w:color="auto"/>
      </w:divBdr>
    </w:div>
    <w:div w:id="597058509">
      <w:bodyDiv w:val="1"/>
      <w:marLeft w:val="0"/>
      <w:marRight w:val="0"/>
      <w:marTop w:val="0"/>
      <w:marBottom w:val="0"/>
      <w:divBdr>
        <w:top w:val="none" w:sz="0" w:space="0" w:color="auto"/>
        <w:left w:val="none" w:sz="0" w:space="0" w:color="auto"/>
        <w:bottom w:val="none" w:sz="0" w:space="0" w:color="auto"/>
        <w:right w:val="none" w:sz="0" w:space="0" w:color="auto"/>
      </w:divBdr>
    </w:div>
    <w:div w:id="613514276">
      <w:bodyDiv w:val="1"/>
      <w:marLeft w:val="0"/>
      <w:marRight w:val="0"/>
      <w:marTop w:val="0"/>
      <w:marBottom w:val="0"/>
      <w:divBdr>
        <w:top w:val="none" w:sz="0" w:space="0" w:color="auto"/>
        <w:left w:val="none" w:sz="0" w:space="0" w:color="auto"/>
        <w:bottom w:val="none" w:sz="0" w:space="0" w:color="auto"/>
        <w:right w:val="none" w:sz="0" w:space="0" w:color="auto"/>
      </w:divBdr>
    </w:div>
    <w:div w:id="708720927">
      <w:bodyDiv w:val="1"/>
      <w:marLeft w:val="0"/>
      <w:marRight w:val="0"/>
      <w:marTop w:val="0"/>
      <w:marBottom w:val="0"/>
      <w:divBdr>
        <w:top w:val="none" w:sz="0" w:space="0" w:color="auto"/>
        <w:left w:val="none" w:sz="0" w:space="0" w:color="auto"/>
        <w:bottom w:val="none" w:sz="0" w:space="0" w:color="auto"/>
        <w:right w:val="none" w:sz="0" w:space="0" w:color="auto"/>
      </w:divBdr>
    </w:div>
    <w:div w:id="1029836479">
      <w:bodyDiv w:val="1"/>
      <w:marLeft w:val="0"/>
      <w:marRight w:val="0"/>
      <w:marTop w:val="0"/>
      <w:marBottom w:val="0"/>
      <w:divBdr>
        <w:top w:val="none" w:sz="0" w:space="0" w:color="auto"/>
        <w:left w:val="none" w:sz="0" w:space="0" w:color="auto"/>
        <w:bottom w:val="none" w:sz="0" w:space="0" w:color="auto"/>
        <w:right w:val="none" w:sz="0" w:space="0" w:color="auto"/>
      </w:divBdr>
    </w:div>
    <w:div w:id="1144003138">
      <w:bodyDiv w:val="1"/>
      <w:marLeft w:val="0"/>
      <w:marRight w:val="0"/>
      <w:marTop w:val="0"/>
      <w:marBottom w:val="0"/>
      <w:divBdr>
        <w:top w:val="none" w:sz="0" w:space="0" w:color="auto"/>
        <w:left w:val="none" w:sz="0" w:space="0" w:color="auto"/>
        <w:bottom w:val="none" w:sz="0" w:space="0" w:color="auto"/>
        <w:right w:val="none" w:sz="0" w:space="0" w:color="auto"/>
      </w:divBdr>
    </w:div>
    <w:div w:id="1206718120">
      <w:bodyDiv w:val="1"/>
      <w:marLeft w:val="0"/>
      <w:marRight w:val="0"/>
      <w:marTop w:val="0"/>
      <w:marBottom w:val="0"/>
      <w:divBdr>
        <w:top w:val="none" w:sz="0" w:space="0" w:color="auto"/>
        <w:left w:val="none" w:sz="0" w:space="0" w:color="auto"/>
        <w:bottom w:val="none" w:sz="0" w:space="0" w:color="auto"/>
        <w:right w:val="none" w:sz="0" w:space="0" w:color="auto"/>
      </w:divBdr>
    </w:div>
    <w:div w:id="1367367137">
      <w:bodyDiv w:val="1"/>
      <w:marLeft w:val="0"/>
      <w:marRight w:val="0"/>
      <w:marTop w:val="0"/>
      <w:marBottom w:val="0"/>
      <w:divBdr>
        <w:top w:val="none" w:sz="0" w:space="0" w:color="auto"/>
        <w:left w:val="none" w:sz="0" w:space="0" w:color="auto"/>
        <w:bottom w:val="none" w:sz="0" w:space="0" w:color="auto"/>
        <w:right w:val="none" w:sz="0" w:space="0" w:color="auto"/>
      </w:divBdr>
    </w:div>
    <w:div w:id="1391225286">
      <w:bodyDiv w:val="1"/>
      <w:marLeft w:val="0"/>
      <w:marRight w:val="0"/>
      <w:marTop w:val="0"/>
      <w:marBottom w:val="0"/>
      <w:divBdr>
        <w:top w:val="none" w:sz="0" w:space="0" w:color="auto"/>
        <w:left w:val="none" w:sz="0" w:space="0" w:color="auto"/>
        <w:bottom w:val="none" w:sz="0" w:space="0" w:color="auto"/>
        <w:right w:val="none" w:sz="0" w:space="0" w:color="auto"/>
      </w:divBdr>
    </w:div>
    <w:div w:id="1426918815">
      <w:bodyDiv w:val="1"/>
      <w:marLeft w:val="0"/>
      <w:marRight w:val="0"/>
      <w:marTop w:val="0"/>
      <w:marBottom w:val="0"/>
      <w:divBdr>
        <w:top w:val="none" w:sz="0" w:space="0" w:color="auto"/>
        <w:left w:val="none" w:sz="0" w:space="0" w:color="auto"/>
        <w:bottom w:val="none" w:sz="0" w:space="0" w:color="auto"/>
        <w:right w:val="none" w:sz="0" w:space="0" w:color="auto"/>
      </w:divBdr>
    </w:div>
    <w:div w:id="1439637026">
      <w:bodyDiv w:val="1"/>
      <w:marLeft w:val="0"/>
      <w:marRight w:val="0"/>
      <w:marTop w:val="0"/>
      <w:marBottom w:val="0"/>
      <w:divBdr>
        <w:top w:val="none" w:sz="0" w:space="0" w:color="auto"/>
        <w:left w:val="none" w:sz="0" w:space="0" w:color="auto"/>
        <w:bottom w:val="none" w:sz="0" w:space="0" w:color="auto"/>
        <w:right w:val="none" w:sz="0" w:space="0" w:color="auto"/>
      </w:divBdr>
    </w:div>
    <w:div w:id="1445032957">
      <w:bodyDiv w:val="1"/>
      <w:marLeft w:val="0"/>
      <w:marRight w:val="0"/>
      <w:marTop w:val="0"/>
      <w:marBottom w:val="0"/>
      <w:divBdr>
        <w:top w:val="none" w:sz="0" w:space="0" w:color="auto"/>
        <w:left w:val="none" w:sz="0" w:space="0" w:color="auto"/>
        <w:bottom w:val="none" w:sz="0" w:space="0" w:color="auto"/>
        <w:right w:val="none" w:sz="0" w:space="0" w:color="auto"/>
      </w:divBdr>
    </w:div>
    <w:div w:id="1537621324">
      <w:bodyDiv w:val="1"/>
      <w:marLeft w:val="0"/>
      <w:marRight w:val="0"/>
      <w:marTop w:val="0"/>
      <w:marBottom w:val="0"/>
      <w:divBdr>
        <w:top w:val="none" w:sz="0" w:space="0" w:color="auto"/>
        <w:left w:val="none" w:sz="0" w:space="0" w:color="auto"/>
        <w:bottom w:val="none" w:sz="0" w:space="0" w:color="auto"/>
        <w:right w:val="none" w:sz="0" w:space="0" w:color="auto"/>
      </w:divBdr>
    </w:div>
    <w:div w:id="1621642236">
      <w:bodyDiv w:val="1"/>
      <w:marLeft w:val="0"/>
      <w:marRight w:val="0"/>
      <w:marTop w:val="0"/>
      <w:marBottom w:val="0"/>
      <w:divBdr>
        <w:top w:val="none" w:sz="0" w:space="0" w:color="auto"/>
        <w:left w:val="none" w:sz="0" w:space="0" w:color="auto"/>
        <w:bottom w:val="none" w:sz="0" w:space="0" w:color="auto"/>
        <w:right w:val="none" w:sz="0" w:space="0" w:color="auto"/>
      </w:divBdr>
    </w:div>
    <w:div w:id="1626157684">
      <w:bodyDiv w:val="1"/>
      <w:marLeft w:val="0"/>
      <w:marRight w:val="0"/>
      <w:marTop w:val="0"/>
      <w:marBottom w:val="0"/>
      <w:divBdr>
        <w:top w:val="none" w:sz="0" w:space="0" w:color="auto"/>
        <w:left w:val="none" w:sz="0" w:space="0" w:color="auto"/>
        <w:bottom w:val="none" w:sz="0" w:space="0" w:color="auto"/>
        <w:right w:val="none" w:sz="0" w:space="0" w:color="auto"/>
      </w:divBdr>
    </w:div>
    <w:div w:id="1645040971">
      <w:bodyDiv w:val="1"/>
      <w:marLeft w:val="0"/>
      <w:marRight w:val="0"/>
      <w:marTop w:val="0"/>
      <w:marBottom w:val="0"/>
      <w:divBdr>
        <w:top w:val="none" w:sz="0" w:space="0" w:color="auto"/>
        <w:left w:val="none" w:sz="0" w:space="0" w:color="auto"/>
        <w:bottom w:val="none" w:sz="0" w:space="0" w:color="auto"/>
        <w:right w:val="none" w:sz="0" w:space="0" w:color="auto"/>
      </w:divBdr>
    </w:div>
    <w:div w:id="1681547893">
      <w:bodyDiv w:val="1"/>
      <w:marLeft w:val="0"/>
      <w:marRight w:val="0"/>
      <w:marTop w:val="0"/>
      <w:marBottom w:val="0"/>
      <w:divBdr>
        <w:top w:val="none" w:sz="0" w:space="0" w:color="auto"/>
        <w:left w:val="none" w:sz="0" w:space="0" w:color="auto"/>
        <w:bottom w:val="none" w:sz="0" w:space="0" w:color="auto"/>
        <w:right w:val="none" w:sz="0" w:space="0" w:color="auto"/>
      </w:divBdr>
      <w:divsChild>
        <w:div w:id="1657417459">
          <w:marLeft w:val="0"/>
          <w:marRight w:val="0"/>
          <w:marTop w:val="0"/>
          <w:marBottom w:val="0"/>
          <w:divBdr>
            <w:top w:val="none" w:sz="0" w:space="0" w:color="auto"/>
            <w:left w:val="none" w:sz="0" w:space="0" w:color="auto"/>
            <w:bottom w:val="none" w:sz="0" w:space="0" w:color="auto"/>
            <w:right w:val="none" w:sz="0" w:space="0" w:color="auto"/>
          </w:divBdr>
          <w:divsChild>
            <w:div w:id="1848641766">
              <w:marLeft w:val="0"/>
              <w:marRight w:val="0"/>
              <w:marTop w:val="30"/>
              <w:marBottom w:val="30"/>
              <w:divBdr>
                <w:top w:val="none" w:sz="0" w:space="0" w:color="auto"/>
                <w:left w:val="none" w:sz="0" w:space="0" w:color="auto"/>
                <w:bottom w:val="none" w:sz="0" w:space="0" w:color="auto"/>
                <w:right w:val="none" w:sz="0" w:space="0" w:color="auto"/>
              </w:divBdr>
              <w:divsChild>
                <w:div w:id="384110486">
                  <w:marLeft w:val="0"/>
                  <w:marRight w:val="0"/>
                  <w:marTop w:val="0"/>
                  <w:marBottom w:val="0"/>
                  <w:divBdr>
                    <w:top w:val="none" w:sz="0" w:space="0" w:color="auto"/>
                    <w:left w:val="none" w:sz="0" w:space="0" w:color="auto"/>
                    <w:bottom w:val="none" w:sz="0" w:space="0" w:color="auto"/>
                    <w:right w:val="none" w:sz="0" w:space="0" w:color="auto"/>
                  </w:divBdr>
                  <w:divsChild>
                    <w:div w:id="193422554">
                      <w:marLeft w:val="0"/>
                      <w:marRight w:val="0"/>
                      <w:marTop w:val="0"/>
                      <w:marBottom w:val="0"/>
                      <w:divBdr>
                        <w:top w:val="none" w:sz="0" w:space="0" w:color="auto"/>
                        <w:left w:val="none" w:sz="0" w:space="0" w:color="auto"/>
                        <w:bottom w:val="none" w:sz="0" w:space="0" w:color="auto"/>
                        <w:right w:val="none" w:sz="0" w:space="0" w:color="auto"/>
                      </w:divBdr>
                    </w:div>
                  </w:divsChild>
                </w:div>
                <w:div w:id="1170212612">
                  <w:marLeft w:val="0"/>
                  <w:marRight w:val="0"/>
                  <w:marTop w:val="0"/>
                  <w:marBottom w:val="0"/>
                  <w:divBdr>
                    <w:top w:val="none" w:sz="0" w:space="0" w:color="auto"/>
                    <w:left w:val="none" w:sz="0" w:space="0" w:color="auto"/>
                    <w:bottom w:val="none" w:sz="0" w:space="0" w:color="auto"/>
                    <w:right w:val="none" w:sz="0" w:space="0" w:color="auto"/>
                  </w:divBdr>
                  <w:divsChild>
                    <w:div w:id="38215520">
                      <w:marLeft w:val="0"/>
                      <w:marRight w:val="0"/>
                      <w:marTop w:val="0"/>
                      <w:marBottom w:val="0"/>
                      <w:divBdr>
                        <w:top w:val="none" w:sz="0" w:space="0" w:color="auto"/>
                        <w:left w:val="none" w:sz="0" w:space="0" w:color="auto"/>
                        <w:bottom w:val="none" w:sz="0" w:space="0" w:color="auto"/>
                        <w:right w:val="none" w:sz="0" w:space="0" w:color="auto"/>
                      </w:divBdr>
                    </w:div>
                  </w:divsChild>
                </w:div>
                <w:div w:id="168373271">
                  <w:marLeft w:val="0"/>
                  <w:marRight w:val="0"/>
                  <w:marTop w:val="0"/>
                  <w:marBottom w:val="0"/>
                  <w:divBdr>
                    <w:top w:val="none" w:sz="0" w:space="0" w:color="auto"/>
                    <w:left w:val="none" w:sz="0" w:space="0" w:color="auto"/>
                    <w:bottom w:val="none" w:sz="0" w:space="0" w:color="auto"/>
                    <w:right w:val="none" w:sz="0" w:space="0" w:color="auto"/>
                  </w:divBdr>
                  <w:divsChild>
                    <w:div w:id="836310771">
                      <w:marLeft w:val="0"/>
                      <w:marRight w:val="0"/>
                      <w:marTop w:val="0"/>
                      <w:marBottom w:val="0"/>
                      <w:divBdr>
                        <w:top w:val="none" w:sz="0" w:space="0" w:color="auto"/>
                        <w:left w:val="none" w:sz="0" w:space="0" w:color="auto"/>
                        <w:bottom w:val="none" w:sz="0" w:space="0" w:color="auto"/>
                        <w:right w:val="none" w:sz="0" w:space="0" w:color="auto"/>
                      </w:divBdr>
                    </w:div>
                  </w:divsChild>
                </w:div>
                <w:div w:id="343631628">
                  <w:marLeft w:val="0"/>
                  <w:marRight w:val="0"/>
                  <w:marTop w:val="0"/>
                  <w:marBottom w:val="0"/>
                  <w:divBdr>
                    <w:top w:val="none" w:sz="0" w:space="0" w:color="auto"/>
                    <w:left w:val="none" w:sz="0" w:space="0" w:color="auto"/>
                    <w:bottom w:val="none" w:sz="0" w:space="0" w:color="auto"/>
                    <w:right w:val="none" w:sz="0" w:space="0" w:color="auto"/>
                  </w:divBdr>
                  <w:divsChild>
                    <w:div w:id="302272978">
                      <w:marLeft w:val="0"/>
                      <w:marRight w:val="0"/>
                      <w:marTop w:val="0"/>
                      <w:marBottom w:val="0"/>
                      <w:divBdr>
                        <w:top w:val="none" w:sz="0" w:space="0" w:color="auto"/>
                        <w:left w:val="none" w:sz="0" w:space="0" w:color="auto"/>
                        <w:bottom w:val="none" w:sz="0" w:space="0" w:color="auto"/>
                        <w:right w:val="none" w:sz="0" w:space="0" w:color="auto"/>
                      </w:divBdr>
                    </w:div>
                  </w:divsChild>
                </w:div>
                <w:div w:id="1864203457">
                  <w:marLeft w:val="0"/>
                  <w:marRight w:val="0"/>
                  <w:marTop w:val="0"/>
                  <w:marBottom w:val="0"/>
                  <w:divBdr>
                    <w:top w:val="none" w:sz="0" w:space="0" w:color="auto"/>
                    <w:left w:val="none" w:sz="0" w:space="0" w:color="auto"/>
                    <w:bottom w:val="none" w:sz="0" w:space="0" w:color="auto"/>
                    <w:right w:val="none" w:sz="0" w:space="0" w:color="auto"/>
                  </w:divBdr>
                  <w:divsChild>
                    <w:div w:id="1297104112">
                      <w:marLeft w:val="0"/>
                      <w:marRight w:val="0"/>
                      <w:marTop w:val="0"/>
                      <w:marBottom w:val="0"/>
                      <w:divBdr>
                        <w:top w:val="none" w:sz="0" w:space="0" w:color="auto"/>
                        <w:left w:val="none" w:sz="0" w:space="0" w:color="auto"/>
                        <w:bottom w:val="none" w:sz="0" w:space="0" w:color="auto"/>
                        <w:right w:val="none" w:sz="0" w:space="0" w:color="auto"/>
                      </w:divBdr>
                    </w:div>
                  </w:divsChild>
                </w:div>
                <w:div w:id="379519640">
                  <w:marLeft w:val="0"/>
                  <w:marRight w:val="0"/>
                  <w:marTop w:val="0"/>
                  <w:marBottom w:val="0"/>
                  <w:divBdr>
                    <w:top w:val="none" w:sz="0" w:space="0" w:color="auto"/>
                    <w:left w:val="none" w:sz="0" w:space="0" w:color="auto"/>
                    <w:bottom w:val="none" w:sz="0" w:space="0" w:color="auto"/>
                    <w:right w:val="none" w:sz="0" w:space="0" w:color="auto"/>
                  </w:divBdr>
                  <w:divsChild>
                    <w:div w:id="3221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15723">
          <w:marLeft w:val="0"/>
          <w:marRight w:val="0"/>
          <w:marTop w:val="0"/>
          <w:marBottom w:val="0"/>
          <w:divBdr>
            <w:top w:val="none" w:sz="0" w:space="0" w:color="auto"/>
            <w:left w:val="none" w:sz="0" w:space="0" w:color="auto"/>
            <w:bottom w:val="none" w:sz="0" w:space="0" w:color="auto"/>
            <w:right w:val="none" w:sz="0" w:space="0" w:color="auto"/>
          </w:divBdr>
        </w:div>
      </w:divsChild>
    </w:div>
    <w:div w:id="1684236992">
      <w:bodyDiv w:val="1"/>
      <w:marLeft w:val="0"/>
      <w:marRight w:val="0"/>
      <w:marTop w:val="0"/>
      <w:marBottom w:val="0"/>
      <w:divBdr>
        <w:top w:val="none" w:sz="0" w:space="0" w:color="auto"/>
        <w:left w:val="none" w:sz="0" w:space="0" w:color="auto"/>
        <w:bottom w:val="none" w:sz="0" w:space="0" w:color="auto"/>
        <w:right w:val="none" w:sz="0" w:space="0" w:color="auto"/>
      </w:divBdr>
    </w:div>
    <w:div w:id="1768650851">
      <w:bodyDiv w:val="1"/>
      <w:marLeft w:val="0"/>
      <w:marRight w:val="0"/>
      <w:marTop w:val="0"/>
      <w:marBottom w:val="0"/>
      <w:divBdr>
        <w:top w:val="none" w:sz="0" w:space="0" w:color="auto"/>
        <w:left w:val="none" w:sz="0" w:space="0" w:color="auto"/>
        <w:bottom w:val="none" w:sz="0" w:space="0" w:color="auto"/>
        <w:right w:val="none" w:sz="0" w:space="0" w:color="auto"/>
      </w:divBdr>
    </w:div>
    <w:div w:id="1899630694">
      <w:bodyDiv w:val="1"/>
      <w:marLeft w:val="0"/>
      <w:marRight w:val="0"/>
      <w:marTop w:val="0"/>
      <w:marBottom w:val="0"/>
      <w:divBdr>
        <w:top w:val="none" w:sz="0" w:space="0" w:color="auto"/>
        <w:left w:val="none" w:sz="0" w:space="0" w:color="auto"/>
        <w:bottom w:val="none" w:sz="0" w:space="0" w:color="auto"/>
        <w:right w:val="none" w:sz="0" w:space="0" w:color="auto"/>
      </w:divBdr>
    </w:div>
    <w:div w:id="2070615538">
      <w:bodyDiv w:val="1"/>
      <w:marLeft w:val="0"/>
      <w:marRight w:val="0"/>
      <w:marTop w:val="0"/>
      <w:marBottom w:val="0"/>
      <w:divBdr>
        <w:top w:val="none" w:sz="0" w:space="0" w:color="auto"/>
        <w:left w:val="none" w:sz="0" w:space="0" w:color="auto"/>
        <w:bottom w:val="none" w:sz="0" w:space="0" w:color="auto"/>
        <w:right w:val="none" w:sz="0" w:space="0" w:color="auto"/>
      </w:divBdr>
    </w:div>
    <w:div w:id="2079546311">
      <w:bodyDiv w:val="1"/>
      <w:marLeft w:val="0"/>
      <w:marRight w:val="0"/>
      <w:marTop w:val="0"/>
      <w:marBottom w:val="0"/>
      <w:divBdr>
        <w:top w:val="none" w:sz="0" w:space="0" w:color="auto"/>
        <w:left w:val="none" w:sz="0" w:space="0" w:color="auto"/>
        <w:bottom w:val="none" w:sz="0" w:space="0" w:color="auto"/>
        <w:right w:val="none" w:sz="0" w:space="0" w:color="auto"/>
      </w:divBdr>
    </w:div>
    <w:div w:id="2116945884">
      <w:bodyDiv w:val="1"/>
      <w:marLeft w:val="0"/>
      <w:marRight w:val="0"/>
      <w:marTop w:val="0"/>
      <w:marBottom w:val="0"/>
      <w:divBdr>
        <w:top w:val="none" w:sz="0" w:space="0" w:color="auto"/>
        <w:left w:val="none" w:sz="0" w:space="0" w:color="auto"/>
        <w:bottom w:val="none" w:sz="0" w:space="0" w:color="auto"/>
        <w:right w:val="none" w:sz="0" w:space="0" w:color="auto"/>
      </w:divBdr>
    </w:div>
    <w:div w:id="213532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blanc10@calstatela.edu"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realtytrac.com/foreclosures/los-angeles-ca/"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lgarc196@calstatela.edu"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uniteddwelling.com/blog/how-covid-affected-los-angeles-housing-market"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mailto:aparseg2@calstatela.edu" TargetMode="External"/><Relationship Id="rId11" Type="http://schemas.openxmlformats.org/officeDocument/2006/relationships/image" Target="media/image2.png"/><Relationship Id="rId24" Type="http://schemas.openxmlformats.org/officeDocument/2006/relationships/hyperlink" Target="https://data.lacity.org/Housing-and-Real-Estate/2020-Registered-Foreclosure-Properties/kde4-k7yx" TargetMode="External"/><Relationship Id="rId5" Type="http://schemas.openxmlformats.org/officeDocument/2006/relationships/hyperlink" Target="mailto:dbarre10@calstatela.edu" TargetMode="External"/><Relationship Id="rId15" Type="http://schemas.openxmlformats.org/officeDocument/2006/relationships/image" Target="media/image6.png"/><Relationship Id="rId23" Type="http://schemas.openxmlformats.org/officeDocument/2006/relationships/hyperlink" Target="https://data.lacity.org/Housing-and-Real-Estate/2019-Registered-Foreclosure-Properties/rsxb-x48z"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rfatima3@calstatela.edu"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4</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Rida</dc:creator>
  <cp:keywords/>
  <dc:description/>
  <cp:lastModifiedBy>Fatima, Rida</cp:lastModifiedBy>
  <cp:revision>114</cp:revision>
  <dcterms:created xsi:type="dcterms:W3CDTF">2022-03-01T05:13:00Z</dcterms:created>
  <dcterms:modified xsi:type="dcterms:W3CDTF">2022-03-23T21:23:00Z</dcterms:modified>
</cp:coreProperties>
</file>