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719ECA">
      <w:pPr>
        <w:spacing w:line="360" w:lineRule="auto"/>
        <w:jc w:val="center"/>
        <w:rPr>
          <w:rFonts w:hint="eastAsia" w:ascii="黑体" w:hAnsi="黑体" w:eastAsia="黑体" w:cs="黑体"/>
          <w:sz w:val="36"/>
          <w:szCs w:val="36"/>
        </w:rPr>
      </w:pPr>
      <w:r>
        <w:rPr>
          <w:rFonts w:hint="eastAsia" w:ascii="黑体" w:hAnsi="黑体" w:eastAsia="黑体" w:cs="黑体"/>
          <w:sz w:val="36"/>
          <w:szCs w:val="36"/>
        </w:rPr>
        <w:t>基于数字孪生技术在</w:t>
      </w:r>
      <w:r>
        <w:rPr>
          <w:rFonts w:hint="eastAsia" w:ascii="黑体" w:hAnsi="黑体" w:eastAsia="黑体" w:cs="黑体"/>
          <w:sz w:val="36"/>
          <w:szCs w:val="36"/>
          <w:lang w:eastAsia="zh-CN"/>
        </w:rPr>
        <w:t>XX</w:t>
      </w:r>
      <w:r>
        <w:rPr>
          <w:rFonts w:hint="eastAsia" w:ascii="黑体" w:hAnsi="黑体" w:eastAsia="黑体" w:cs="黑体"/>
          <w:sz w:val="36"/>
          <w:szCs w:val="36"/>
        </w:rPr>
        <w:t>信息安全领域的探索与应用</w:t>
      </w:r>
    </w:p>
    <w:p w14:paraId="7F44B6B1">
      <w:pPr>
        <w:spacing w:line="360" w:lineRule="auto"/>
        <w:jc w:val="center"/>
        <w:rPr>
          <w:rFonts w:hint="eastAsia" w:ascii="黑体" w:hAnsi="黑体" w:eastAsia="黑体" w:cs="黑体"/>
          <w:sz w:val="36"/>
          <w:szCs w:val="36"/>
        </w:rPr>
      </w:pPr>
      <w:r>
        <w:rPr>
          <w:rFonts w:hint="eastAsia" w:ascii="黑体" w:hAnsi="黑体" w:eastAsia="黑体" w:cs="黑体"/>
          <w:sz w:val="36"/>
          <w:szCs w:val="36"/>
        </w:rPr>
        <w:t>项目技术支持服务项目合同</w:t>
      </w:r>
    </w:p>
    <w:p w14:paraId="3EEE982B">
      <w:pPr>
        <w:spacing w:line="360" w:lineRule="auto"/>
        <w:ind w:firstLine="480" w:firstLineChars="200"/>
        <w:rPr>
          <w:sz w:val="24"/>
        </w:rPr>
      </w:pPr>
    </w:p>
    <w:p w14:paraId="7662B8C9">
      <w:pPr>
        <w:spacing w:line="360" w:lineRule="auto"/>
        <w:rPr>
          <w:sz w:val="24"/>
        </w:rPr>
      </w:pPr>
      <w:r>
        <w:rPr>
          <w:rFonts w:hint="eastAsia"/>
          <w:sz w:val="24"/>
        </w:rPr>
        <w:t>甲方：</w:t>
      </w:r>
      <w:r>
        <w:rPr>
          <w:rFonts w:hint="eastAsia"/>
          <w:sz w:val="24"/>
          <w:u w:val="single"/>
        </w:rPr>
        <w:t xml:space="preserve"> 河南省</w:t>
      </w:r>
      <w:r>
        <w:rPr>
          <w:rFonts w:hint="eastAsia"/>
          <w:sz w:val="24"/>
          <w:u w:val="single"/>
          <w:lang w:eastAsia="zh-CN"/>
        </w:rPr>
        <w:t>XX</w:t>
      </w:r>
      <w:r>
        <w:rPr>
          <w:rFonts w:hint="eastAsia"/>
          <w:sz w:val="24"/>
          <w:u w:val="single"/>
        </w:rPr>
        <w:t xml:space="preserve">公司郑州市公司 </w:t>
      </w:r>
    </w:p>
    <w:p w14:paraId="7A4FA4C2">
      <w:pPr>
        <w:spacing w:line="360" w:lineRule="auto"/>
        <w:rPr>
          <w:sz w:val="24"/>
          <w:u w:val="single"/>
        </w:rPr>
      </w:pPr>
      <w:r>
        <w:rPr>
          <w:rFonts w:hint="eastAsia"/>
          <w:sz w:val="24"/>
        </w:rPr>
        <w:t>乙方：</w:t>
      </w:r>
      <w:r>
        <w:rPr>
          <w:rFonts w:hint="eastAsia"/>
          <w:sz w:val="24"/>
          <w:u w:val="single"/>
        </w:rPr>
        <w:t xml:space="preserve"> 郑州</w:t>
      </w:r>
      <w:r>
        <w:rPr>
          <w:rFonts w:hint="eastAsia"/>
          <w:sz w:val="24"/>
          <w:u w:val="single"/>
          <w:lang w:eastAsia="zh-CN"/>
        </w:rPr>
        <w:t>BB</w:t>
      </w:r>
      <w:r>
        <w:rPr>
          <w:rFonts w:hint="eastAsia"/>
          <w:sz w:val="24"/>
          <w:u w:val="single"/>
        </w:rPr>
        <w:t xml:space="preserve">科技有限公司     </w:t>
      </w:r>
    </w:p>
    <w:p w14:paraId="2EA0501B">
      <w:pPr>
        <w:spacing w:line="360" w:lineRule="auto"/>
        <w:ind w:firstLine="480" w:firstLineChars="200"/>
        <w:rPr>
          <w:rFonts w:hint="eastAsia" w:ascii="宋体" w:hAnsi="宋体" w:cs="宋体"/>
          <w:sz w:val="24"/>
        </w:rPr>
      </w:pPr>
      <w:r>
        <w:rPr>
          <w:rFonts w:hint="eastAsia" w:ascii="宋体" w:hAnsi="宋体" w:cs="宋体"/>
          <w:sz w:val="24"/>
        </w:rPr>
        <w:t>依据《中华人民共和国民法典》的规定，协议双方就</w:t>
      </w:r>
      <w:r>
        <w:rPr>
          <w:rFonts w:hint="eastAsia" w:ascii="宋体" w:hAnsi="宋体" w:cs="宋体"/>
          <w:sz w:val="24"/>
          <w:u w:val="single"/>
        </w:rPr>
        <w:t>基于数字孪生技术在</w:t>
      </w:r>
      <w:r>
        <w:rPr>
          <w:rFonts w:hint="eastAsia" w:ascii="宋体" w:hAnsi="宋体" w:cs="宋体"/>
          <w:sz w:val="24"/>
          <w:u w:val="single"/>
          <w:lang w:eastAsia="zh-CN"/>
        </w:rPr>
        <w:t>XX</w:t>
      </w:r>
      <w:r>
        <w:rPr>
          <w:rFonts w:hint="eastAsia" w:ascii="宋体" w:hAnsi="宋体" w:cs="宋体"/>
          <w:sz w:val="24"/>
          <w:u w:val="single"/>
        </w:rPr>
        <w:t>信息安全领域的探索与应用项目技术支持服务项目</w:t>
      </w:r>
      <w:r>
        <w:rPr>
          <w:rFonts w:hint="eastAsia" w:ascii="宋体" w:hAnsi="宋体" w:cs="宋体"/>
          <w:sz w:val="24"/>
        </w:rPr>
        <w:t>的合作事宜，本着友好合作、长远发展的目的，在互利互惠的原则下，经协商一致，签订本合同。</w:t>
      </w:r>
    </w:p>
    <w:p w14:paraId="04A480FE">
      <w:pPr>
        <w:pStyle w:val="2"/>
        <w:spacing w:before="156" w:after="156"/>
      </w:pPr>
      <w:r>
        <w:rPr>
          <w:rFonts w:hint="eastAsia"/>
        </w:rPr>
        <w:t>服务内容、形式和要求</w:t>
      </w:r>
    </w:p>
    <w:p w14:paraId="246AAF0C">
      <w:pPr>
        <w:spacing w:line="360" w:lineRule="auto"/>
        <w:ind w:firstLine="480" w:firstLineChars="200"/>
        <w:rPr>
          <w:rFonts w:hint="eastAsia" w:ascii="宋体" w:hAnsi="宋体" w:cs="宋体"/>
          <w:sz w:val="24"/>
        </w:rPr>
      </w:pPr>
      <w:r>
        <w:rPr>
          <w:rFonts w:hint="eastAsia" w:ascii="宋体" w:hAnsi="宋体" w:cs="宋体"/>
          <w:sz w:val="24"/>
        </w:rPr>
        <w:t>受甲方委托，乙方向甲方提供</w:t>
      </w:r>
      <w:bookmarkStart w:id="0" w:name="_Toc269634714"/>
      <w:r>
        <w:rPr>
          <w:rFonts w:hint="eastAsia" w:ascii="宋体" w:hAnsi="宋体" w:cs="宋体"/>
          <w:sz w:val="24"/>
        </w:rPr>
        <w:t>基于数字孪生技术在</w:t>
      </w:r>
      <w:r>
        <w:rPr>
          <w:rFonts w:hint="eastAsia" w:ascii="宋体" w:hAnsi="宋体" w:cs="宋体"/>
          <w:sz w:val="24"/>
          <w:lang w:eastAsia="zh-CN"/>
        </w:rPr>
        <w:t>XX</w:t>
      </w:r>
      <w:r>
        <w:rPr>
          <w:rFonts w:hint="eastAsia" w:ascii="宋体" w:hAnsi="宋体" w:cs="宋体"/>
          <w:sz w:val="24"/>
        </w:rPr>
        <w:t>信息安全领域的探索与应用项目技术支持服务项目技术服务，</w:t>
      </w:r>
      <w:bookmarkEnd w:id="0"/>
      <w:r>
        <w:rPr>
          <w:rFonts w:hint="eastAsia" w:ascii="宋体" w:hAnsi="宋体" w:cs="宋体"/>
          <w:sz w:val="24"/>
        </w:rPr>
        <w:t>具体内容见附件技术要求。</w:t>
      </w:r>
    </w:p>
    <w:p w14:paraId="2B0AAC73">
      <w:pPr>
        <w:pStyle w:val="2"/>
        <w:spacing w:before="156" w:after="156"/>
      </w:pPr>
      <w:r>
        <w:rPr>
          <w:rFonts w:hint="eastAsia"/>
        </w:rPr>
        <w:t>乙方的责任</w:t>
      </w:r>
    </w:p>
    <w:p w14:paraId="64D459E9">
      <w:pPr>
        <w:numPr>
          <w:ilvl w:val="0"/>
          <w:numId w:val="2"/>
        </w:numPr>
        <w:spacing w:line="360" w:lineRule="auto"/>
        <w:ind w:firstLine="480" w:firstLineChars="200"/>
        <w:rPr>
          <w:rFonts w:hint="eastAsia" w:ascii="宋体" w:hAnsi="宋体" w:cs="宋体"/>
          <w:sz w:val="24"/>
        </w:rPr>
      </w:pPr>
      <w:r>
        <w:rPr>
          <w:rFonts w:hint="eastAsia" w:ascii="宋体" w:hAnsi="宋体" w:cs="宋体"/>
          <w:sz w:val="24"/>
        </w:rPr>
        <w:t>乙方负责按甲方规定的内容和时间进度，安排相关人员进行开发工作。</w:t>
      </w:r>
    </w:p>
    <w:p w14:paraId="27EADC9C">
      <w:pPr>
        <w:numPr>
          <w:ilvl w:val="0"/>
          <w:numId w:val="2"/>
        </w:numPr>
        <w:spacing w:line="360" w:lineRule="auto"/>
        <w:ind w:firstLine="480" w:firstLineChars="200"/>
        <w:rPr>
          <w:rFonts w:hint="eastAsia" w:ascii="宋体" w:hAnsi="宋体" w:cs="宋体"/>
          <w:sz w:val="24"/>
        </w:rPr>
      </w:pPr>
      <w:r>
        <w:rPr>
          <w:rFonts w:hint="eastAsia" w:ascii="宋体" w:hAnsi="宋体" w:cs="宋体"/>
          <w:sz w:val="24"/>
        </w:rPr>
        <w:t>乙方按甲方的规定，在甲方的协助下完成各阶段的工作成果。</w:t>
      </w:r>
    </w:p>
    <w:p w14:paraId="40F228DC">
      <w:pPr>
        <w:numPr>
          <w:ilvl w:val="0"/>
          <w:numId w:val="2"/>
        </w:numPr>
        <w:spacing w:line="360" w:lineRule="auto"/>
        <w:ind w:firstLine="480" w:firstLineChars="200"/>
        <w:rPr>
          <w:rFonts w:hint="eastAsia" w:ascii="宋体" w:hAnsi="宋体" w:cs="宋体"/>
          <w:sz w:val="24"/>
        </w:rPr>
      </w:pPr>
      <w:r>
        <w:rPr>
          <w:rFonts w:hint="eastAsia" w:ascii="宋体" w:hAnsi="宋体" w:cs="宋体"/>
          <w:sz w:val="24"/>
        </w:rPr>
        <w:t>乙方承诺在本合同及其相关附件的履行过程中，乙方所使用的相关资料、方法、工具、手段和工作成果不存在侵犯他人合法权益及违反与第三方之间约定的情况。</w:t>
      </w:r>
    </w:p>
    <w:p w14:paraId="1708E5D0">
      <w:pPr>
        <w:pStyle w:val="2"/>
        <w:spacing w:before="156" w:after="156"/>
      </w:pPr>
      <w:r>
        <w:rPr>
          <w:rFonts w:hint="eastAsia"/>
        </w:rPr>
        <w:t>甲方的责任</w:t>
      </w:r>
    </w:p>
    <w:p w14:paraId="33470946">
      <w:pPr>
        <w:numPr>
          <w:ilvl w:val="0"/>
          <w:numId w:val="3"/>
        </w:numPr>
        <w:spacing w:line="360" w:lineRule="auto"/>
        <w:ind w:firstLine="480" w:firstLineChars="200"/>
        <w:rPr>
          <w:rFonts w:hint="eastAsia" w:ascii="宋体" w:hAnsi="宋体" w:cs="宋体"/>
          <w:sz w:val="24"/>
        </w:rPr>
      </w:pPr>
      <w:r>
        <w:rPr>
          <w:rFonts w:hint="eastAsia" w:ascii="宋体" w:hAnsi="宋体" w:cs="宋体"/>
          <w:sz w:val="24"/>
        </w:rPr>
        <w:t>与乙方协商确定《基于数字孪生技术在</w:t>
      </w:r>
      <w:r>
        <w:rPr>
          <w:rFonts w:hint="eastAsia" w:ascii="宋体" w:hAnsi="宋体" w:cs="宋体"/>
          <w:sz w:val="24"/>
          <w:lang w:eastAsia="zh-CN"/>
        </w:rPr>
        <w:t>XX</w:t>
      </w:r>
      <w:r>
        <w:rPr>
          <w:rFonts w:hint="eastAsia" w:ascii="宋体" w:hAnsi="宋体" w:cs="宋体"/>
          <w:sz w:val="24"/>
        </w:rPr>
        <w:t>信息安全领域的探索与应用项目》的实施计划，协调内部资源，配合和协助乙方开展工作，为乙方提供必要的工作条件。</w:t>
      </w:r>
    </w:p>
    <w:p w14:paraId="649059F2">
      <w:pPr>
        <w:numPr>
          <w:ilvl w:val="0"/>
          <w:numId w:val="3"/>
        </w:numPr>
        <w:spacing w:line="360" w:lineRule="auto"/>
        <w:ind w:firstLine="480" w:firstLineChars="200"/>
        <w:rPr>
          <w:rFonts w:hint="eastAsia" w:ascii="宋体" w:hAnsi="宋体" w:cs="宋体"/>
          <w:sz w:val="24"/>
        </w:rPr>
      </w:pPr>
      <w:r>
        <w:rPr>
          <w:rFonts w:hint="eastAsia" w:ascii="宋体" w:hAnsi="宋体" w:cs="宋体"/>
          <w:sz w:val="24"/>
        </w:rPr>
        <w:t>甲方需对项目实施过程进行监督和管控，确保项目按计划推进并达到预期效果。</w:t>
      </w:r>
    </w:p>
    <w:p w14:paraId="6F0EA45C">
      <w:pPr>
        <w:numPr>
          <w:ilvl w:val="0"/>
          <w:numId w:val="3"/>
        </w:numPr>
        <w:spacing w:line="360" w:lineRule="auto"/>
        <w:ind w:firstLine="480" w:firstLineChars="200"/>
        <w:rPr>
          <w:rFonts w:hint="eastAsia" w:ascii="宋体" w:hAnsi="宋体" w:cs="宋体"/>
          <w:sz w:val="24"/>
        </w:rPr>
      </w:pPr>
      <w:r>
        <w:rPr>
          <w:rFonts w:hint="eastAsia" w:ascii="宋体" w:hAnsi="宋体" w:cs="宋体"/>
          <w:sz w:val="24"/>
        </w:rPr>
        <w:t>有关本合同之签订、履行、变更、解除、终止等相关事宜以及与之对应的合同附件等相关法律文件，只有加盖甲方公章或者合同专用章的情况下才是甲方的真实意思表示。</w:t>
      </w:r>
    </w:p>
    <w:p w14:paraId="376093D6">
      <w:pPr>
        <w:pStyle w:val="2"/>
        <w:spacing w:before="156" w:after="156"/>
      </w:pPr>
      <w:r>
        <w:rPr>
          <w:rFonts w:hint="eastAsia"/>
        </w:rPr>
        <w:t>验收标准和方式</w:t>
      </w:r>
    </w:p>
    <w:p w14:paraId="43DC9511">
      <w:pPr>
        <w:spacing w:line="360" w:lineRule="auto"/>
        <w:ind w:firstLine="480" w:firstLineChars="200"/>
        <w:rPr>
          <w:rFonts w:hint="eastAsia" w:ascii="宋体" w:hAnsi="宋体" w:cs="宋体"/>
          <w:sz w:val="24"/>
        </w:rPr>
      </w:pPr>
      <w:r>
        <w:rPr>
          <w:rFonts w:hint="eastAsia" w:ascii="宋体" w:hAnsi="宋体" w:cs="宋体"/>
          <w:sz w:val="24"/>
        </w:rPr>
        <w:t>合同签订后30个工作日完成项目验收，甲方出具加盖印章或授权人签字的验收意见。</w:t>
      </w:r>
    </w:p>
    <w:p w14:paraId="3326DB79">
      <w:pPr>
        <w:spacing w:line="360" w:lineRule="auto"/>
        <w:ind w:firstLine="480" w:firstLineChars="200"/>
        <w:rPr>
          <w:rFonts w:hint="eastAsia" w:ascii="宋体" w:hAnsi="宋体" w:cs="宋体"/>
          <w:sz w:val="24"/>
        </w:rPr>
      </w:pPr>
      <w:r>
        <w:rPr>
          <w:rFonts w:hint="eastAsia" w:ascii="宋体" w:hAnsi="宋体" w:cs="宋体"/>
          <w:sz w:val="24"/>
        </w:rPr>
        <w:t>验收标准：乙方完成虚拟化平台部署实施，提供相关证明材料；乙方完成对接设备的调试及相关技术测试，提供相关证明材料。</w:t>
      </w:r>
    </w:p>
    <w:p w14:paraId="4256C108">
      <w:pPr>
        <w:pStyle w:val="2"/>
        <w:spacing w:before="156" w:after="156"/>
      </w:pPr>
      <w:r>
        <w:rPr>
          <w:rFonts w:hint="eastAsia"/>
        </w:rPr>
        <w:t>合同金额及其支付方式</w:t>
      </w:r>
    </w:p>
    <w:p w14:paraId="3BD16A12">
      <w:pPr>
        <w:numPr>
          <w:ilvl w:val="0"/>
          <w:numId w:val="4"/>
        </w:numPr>
        <w:spacing w:line="360" w:lineRule="auto"/>
        <w:ind w:firstLine="480" w:firstLineChars="200"/>
        <w:rPr>
          <w:rFonts w:hint="eastAsia" w:ascii="宋体" w:hAnsi="宋体" w:cs="宋体"/>
          <w:sz w:val="24"/>
        </w:rPr>
      </w:pPr>
      <w:r>
        <w:rPr>
          <w:rFonts w:hint="eastAsia" w:ascii="宋体" w:hAnsi="宋体" w:cs="宋体"/>
          <w:sz w:val="24"/>
        </w:rPr>
        <w:t>本合同金额总计（大写）人民币 ：拾万陆仟元整（小写：¥106000.00）。合同明细如下：</w:t>
      </w:r>
    </w:p>
    <w:tbl>
      <w:tblPr>
        <w:tblStyle w:val="13"/>
        <w:tblW w:w="498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0"/>
        <w:gridCol w:w="2188"/>
        <w:gridCol w:w="3265"/>
        <w:gridCol w:w="1087"/>
        <w:gridCol w:w="721"/>
        <w:gridCol w:w="987"/>
        <w:gridCol w:w="976"/>
      </w:tblGrid>
      <w:tr w14:paraId="7E7EF9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357" w:type="pct"/>
            <w:shd w:val="clear" w:color="auto" w:fill="D8D8D8"/>
            <w:noWrap w:val="0"/>
            <w:vAlign w:val="top"/>
          </w:tcPr>
          <w:p w14:paraId="5CA81DA2">
            <w:pPr>
              <w:spacing w:line="360" w:lineRule="auto"/>
              <w:rPr>
                <w:b/>
                <w:bCs/>
              </w:rPr>
            </w:pPr>
            <w:r>
              <w:rPr>
                <w:rFonts w:hint="eastAsia"/>
                <w:b/>
                <w:bCs/>
              </w:rPr>
              <w:t>序号</w:t>
            </w:r>
          </w:p>
        </w:tc>
        <w:tc>
          <w:tcPr>
            <w:tcW w:w="1101" w:type="pct"/>
            <w:shd w:val="clear" w:color="auto" w:fill="D8D8D8"/>
            <w:noWrap w:val="0"/>
            <w:vAlign w:val="top"/>
          </w:tcPr>
          <w:p w14:paraId="2204DB2E">
            <w:pPr>
              <w:spacing w:line="360" w:lineRule="auto"/>
              <w:rPr>
                <w:b/>
                <w:bCs/>
              </w:rPr>
            </w:pPr>
            <w:r>
              <w:rPr>
                <w:rFonts w:hint="eastAsia"/>
                <w:b/>
                <w:bCs/>
              </w:rPr>
              <w:t>名称</w:t>
            </w:r>
          </w:p>
        </w:tc>
        <w:tc>
          <w:tcPr>
            <w:tcW w:w="1643" w:type="pct"/>
            <w:shd w:val="clear" w:color="auto" w:fill="D8D8D8"/>
            <w:noWrap w:val="0"/>
            <w:vAlign w:val="top"/>
          </w:tcPr>
          <w:p w14:paraId="60D6A91A">
            <w:pPr>
              <w:spacing w:line="360" w:lineRule="auto"/>
              <w:rPr>
                <w:b/>
                <w:bCs/>
              </w:rPr>
            </w:pPr>
            <w:r>
              <w:rPr>
                <w:rFonts w:hint="eastAsia"/>
                <w:b/>
                <w:bCs/>
              </w:rPr>
              <w:t>描述</w:t>
            </w:r>
          </w:p>
        </w:tc>
        <w:tc>
          <w:tcPr>
            <w:tcW w:w="547" w:type="pct"/>
            <w:shd w:val="clear" w:color="auto" w:fill="D8D8D8"/>
            <w:noWrap w:val="0"/>
            <w:vAlign w:val="top"/>
          </w:tcPr>
          <w:p w14:paraId="17759F53">
            <w:pPr>
              <w:spacing w:line="360" w:lineRule="auto"/>
              <w:rPr>
                <w:b/>
                <w:bCs/>
              </w:rPr>
            </w:pPr>
            <w:r>
              <w:rPr>
                <w:rFonts w:hint="eastAsia"/>
                <w:b/>
                <w:bCs/>
              </w:rPr>
              <w:t>单价</w:t>
            </w:r>
          </w:p>
        </w:tc>
        <w:tc>
          <w:tcPr>
            <w:tcW w:w="361" w:type="pct"/>
            <w:shd w:val="clear" w:color="auto" w:fill="D8D8D8"/>
            <w:noWrap w:val="0"/>
            <w:vAlign w:val="top"/>
          </w:tcPr>
          <w:p w14:paraId="62EC7759">
            <w:pPr>
              <w:spacing w:line="360" w:lineRule="auto"/>
              <w:rPr>
                <w:b/>
                <w:bCs/>
              </w:rPr>
            </w:pPr>
            <w:r>
              <w:rPr>
                <w:rFonts w:hint="eastAsia"/>
                <w:b/>
                <w:bCs/>
              </w:rPr>
              <w:t>数量</w:t>
            </w:r>
          </w:p>
        </w:tc>
        <w:tc>
          <w:tcPr>
            <w:tcW w:w="497" w:type="pct"/>
            <w:shd w:val="clear" w:color="auto" w:fill="D8D8D8"/>
            <w:noWrap w:val="0"/>
            <w:vAlign w:val="top"/>
          </w:tcPr>
          <w:p w14:paraId="6A8528FA">
            <w:pPr>
              <w:spacing w:line="360" w:lineRule="auto"/>
              <w:rPr>
                <w:b/>
                <w:bCs/>
              </w:rPr>
            </w:pPr>
            <w:r>
              <w:rPr>
                <w:rFonts w:hint="eastAsia"/>
                <w:b/>
                <w:bCs/>
              </w:rPr>
              <w:t>小计</w:t>
            </w:r>
          </w:p>
        </w:tc>
        <w:tc>
          <w:tcPr>
            <w:tcW w:w="491" w:type="pct"/>
            <w:shd w:val="clear" w:color="auto" w:fill="D8D8D8"/>
            <w:noWrap w:val="0"/>
            <w:vAlign w:val="top"/>
          </w:tcPr>
          <w:p w14:paraId="0C051F70">
            <w:pPr>
              <w:spacing w:line="360" w:lineRule="auto"/>
              <w:rPr>
                <w:b/>
                <w:bCs/>
              </w:rPr>
            </w:pPr>
            <w:r>
              <w:rPr>
                <w:rFonts w:hint="eastAsia"/>
                <w:b/>
                <w:bCs/>
              </w:rPr>
              <w:t>备注</w:t>
            </w:r>
          </w:p>
        </w:tc>
      </w:tr>
      <w:tr w14:paraId="1746E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357" w:type="pct"/>
            <w:noWrap w:val="0"/>
            <w:vAlign w:val="center"/>
          </w:tcPr>
          <w:p w14:paraId="2E3A2287">
            <w:pPr>
              <w:numPr>
                <w:ilvl w:val="0"/>
                <w:numId w:val="5"/>
              </w:numPr>
              <w:spacing w:line="360" w:lineRule="auto"/>
            </w:pPr>
          </w:p>
        </w:tc>
        <w:tc>
          <w:tcPr>
            <w:tcW w:w="1101" w:type="pct"/>
            <w:noWrap w:val="0"/>
            <w:vAlign w:val="center"/>
          </w:tcPr>
          <w:p w14:paraId="7C43E930">
            <w:pPr>
              <w:spacing w:line="360" w:lineRule="auto"/>
            </w:pPr>
            <w:bookmarkStart w:id="1" w:name="_Hlk183007496"/>
            <w:r>
              <w:rPr>
                <w:rFonts w:hint="eastAsia"/>
              </w:rPr>
              <w:t>虚拟化平台部署</w:t>
            </w:r>
            <w:bookmarkEnd w:id="1"/>
            <w:r>
              <w:rPr>
                <w:rFonts w:hint="eastAsia"/>
              </w:rPr>
              <w:t>实施</w:t>
            </w:r>
          </w:p>
        </w:tc>
        <w:tc>
          <w:tcPr>
            <w:tcW w:w="1643" w:type="pct"/>
            <w:noWrap w:val="0"/>
            <w:vAlign w:val="top"/>
          </w:tcPr>
          <w:p w14:paraId="27D495E4">
            <w:pPr>
              <w:spacing w:line="360" w:lineRule="auto"/>
            </w:pPr>
            <w:r>
              <w:rPr>
                <w:rFonts w:hint="eastAsia"/>
              </w:rPr>
              <w:t>对支撑服务运行的虚拟化平台进行部署，满足服务运行要求，提供相关软件授权等。</w:t>
            </w:r>
          </w:p>
        </w:tc>
        <w:tc>
          <w:tcPr>
            <w:tcW w:w="547" w:type="pct"/>
            <w:noWrap w:val="0"/>
            <w:vAlign w:val="center"/>
          </w:tcPr>
          <w:p w14:paraId="5893D128">
            <w:pPr>
              <w:spacing w:line="360" w:lineRule="auto"/>
            </w:pPr>
            <w:r>
              <w:rPr>
                <w:rFonts w:hint="eastAsia"/>
              </w:rPr>
              <w:t>40000</w:t>
            </w:r>
          </w:p>
        </w:tc>
        <w:tc>
          <w:tcPr>
            <w:tcW w:w="361" w:type="pct"/>
            <w:noWrap w:val="0"/>
            <w:vAlign w:val="center"/>
          </w:tcPr>
          <w:p w14:paraId="0FF45FE0">
            <w:pPr>
              <w:spacing w:line="360" w:lineRule="auto"/>
            </w:pPr>
            <w:r>
              <w:rPr>
                <w:rFonts w:hint="eastAsia"/>
              </w:rPr>
              <w:t>1项</w:t>
            </w:r>
          </w:p>
        </w:tc>
        <w:tc>
          <w:tcPr>
            <w:tcW w:w="497" w:type="pct"/>
            <w:noWrap w:val="0"/>
            <w:vAlign w:val="center"/>
          </w:tcPr>
          <w:p w14:paraId="02F02E55">
            <w:pPr>
              <w:spacing w:line="360" w:lineRule="auto"/>
            </w:pPr>
            <w:r>
              <w:rPr>
                <w:rFonts w:hint="eastAsia"/>
              </w:rPr>
              <w:t>40000</w:t>
            </w:r>
          </w:p>
        </w:tc>
        <w:tc>
          <w:tcPr>
            <w:tcW w:w="491" w:type="pct"/>
            <w:noWrap w:val="0"/>
            <w:vAlign w:val="top"/>
          </w:tcPr>
          <w:p w14:paraId="5DF30B77">
            <w:pPr>
              <w:spacing w:line="360" w:lineRule="auto"/>
            </w:pPr>
          </w:p>
        </w:tc>
      </w:tr>
      <w:tr w14:paraId="69AF18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357" w:type="pct"/>
            <w:noWrap w:val="0"/>
            <w:vAlign w:val="center"/>
          </w:tcPr>
          <w:p w14:paraId="0FBFA03A">
            <w:pPr>
              <w:numPr>
                <w:ilvl w:val="0"/>
                <w:numId w:val="5"/>
              </w:numPr>
              <w:spacing w:line="360" w:lineRule="auto"/>
            </w:pPr>
          </w:p>
        </w:tc>
        <w:tc>
          <w:tcPr>
            <w:tcW w:w="1101" w:type="pct"/>
            <w:noWrap w:val="0"/>
            <w:vAlign w:val="center"/>
          </w:tcPr>
          <w:p w14:paraId="2B414CA3">
            <w:pPr>
              <w:spacing w:line="360" w:lineRule="auto"/>
            </w:pPr>
            <w:r>
              <w:rPr>
                <w:rFonts w:hint="eastAsia"/>
              </w:rPr>
              <w:t>设备对接及调试</w:t>
            </w:r>
          </w:p>
        </w:tc>
        <w:tc>
          <w:tcPr>
            <w:tcW w:w="1643" w:type="pct"/>
            <w:noWrap w:val="0"/>
            <w:vAlign w:val="top"/>
          </w:tcPr>
          <w:p w14:paraId="361DDB25">
            <w:pPr>
              <w:spacing w:line="360" w:lineRule="auto"/>
            </w:pPr>
            <w:r>
              <w:rPr>
                <w:rFonts w:hint="eastAsia"/>
              </w:rPr>
              <w:t>完成与数据中心相关安全设备的对接调试工作，包括防火墙、防病毒等，并完成相关功能调试。</w:t>
            </w:r>
          </w:p>
        </w:tc>
        <w:tc>
          <w:tcPr>
            <w:tcW w:w="547" w:type="pct"/>
            <w:noWrap w:val="0"/>
            <w:vAlign w:val="center"/>
          </w:tcPr>
          <w:p w14:paraId="52E8D00C">
            <w:pPr>
              <w:spacing w:line="360" w:lineRule="auto"/>
            </w:pPr>
            <w:r>
              <w:rPr>
                <w:rFonts w:hint="eastAsia"/>
              </w:rPr>
              <w:t>40000</w:t>
            </w:r>
          </w:p>
        </w:tc>
        <w:tc>
          <w:tcPr>
            <w:tcW w:w="361" w:type="pct"/>
            <w:noWrap w:val="0"/>
            <w:vAlign w:val="center"/>
          </w:tcPr>
          <w:p w14:paraId="47A1898A">
            <w:pPr>
              <w:spacing w:line="360" w:lineRule="auto"/>
            </w:pPr>
            <w:r>
              <w:rPr>
                <w:rFonts w:hint="eastAsia"/>
              </w:rPr>
              <w:t>1项</w:t>
            </w:r>
          </w:p>
        </w:tc>
        <w:tc>
          <w:tcPr>
            <w:tcW w:w="497" w:type="pct"/>
            <w:noWrap w:val="0"/>
            <w:vAlign w:val="center"/>
          </w:tcPr>
          <w:p w14:paraId="0A0DB72D">
            <w:pPr>
              <w:spacing w:line="360" w:lineRule="auto"/>
            </w:pPr>
            <w:r>
              <w:rPr>
                <w:rFonts w:hint="eastAsia"/>
              </w:rPr>
              <w:t>40000</w:t>
            </w:r>
          </w:p>
        </w:tc>
        <w:tc>
          <w:tcPr>
            <w:tcW w:w="491" w:type="pct"/>
            <w:noWrap w:val="0"/>
            <w:vAlign w:val="top"/>
          </w:tcPr>
          <w:p w14:paraId="3E5C2D46">
            <w:pPr>
              <w:spacing w:line="360" w:lineRule="auto"/>
            </w:pPr>
          </w:p>
        </w:tc>
      </w:tr>
      <w:tr w14:paraId="539923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357" w:type="pct"/>
            <w:noWrap w:val="0"/>
            <w:vAlign w:val="center"/>
          </w:tcPr>
          <w:p w14:paraId="1FF50537">
            <w:pPr>
              <w:numPr>
                <w:ilvl w:val="0"/>
                <w:numId w:val="5"/>
              </w:numPr>
              <w:spacing w:line="360" w:lineRule="auto"/>
            </w:pPr>
          </w:p>
        </w:tc>
        <w:tc>
          <w:tcPr>
            <w:tcW w:w="1101" w:type="pct"/>
            <w:noWrap w:val="0"/>
            <w:vAlign w:val="center"/>
          </w:tcPr>
          <w:p w14:paraId="44917D7F">
            <w:pPr>
              <w:spacing w:line="360" w:lineRule="auto"/>
            </w:pPr>
            <w:r>
              <w:rPr>
                <w:rFonts w:hint="eastAsia"/>
              </w:rPr>
              <w:t>软件测试</w:t>
            </w:r>
          </w:p>
        </w:tc>
        <w:tc>
          <w:tcPr>
            <w:tcW w:w="1643" w:type="pct"/>
            <w:noWrap w:val="0"/>
            <w:vAlign w:val="top"/>
          </w:tcPr>
          <w:p w14:paraId="7DAA3855">
            <w:pPr>
              <w:spacing w:line="360" w:lineRule="auto"/>
            </w:pPr>
            <w:r>
              <w:rPr>
                <w:rFonts w:hint="eastAsia"/>
              </w:rPr>
              <w:t>对项目所涉及软件进行功能测试、稳定性测试等。</w:t>
            </w:r>
          </w:p>
        </w:tc>
        <w:tc>
          <w:tcPr>
            <w:tcW w:w="547" w:type="pct"/>
            <w:noWrap w:val="0"/>
            <w:vAlign w:val="center"/>
          </w:tcPr>
          <w:p w14:paraId="496CA5E2">
            <w:pPr>
              <w:spacing w:line="360" w:lineRule="auto"/>
            </w:pPr>
            <w:r>
              <w:rPr>
                <w:rFonts w:hint="eastAsia"/>
              </w:rPr>
              <w:t>26000</w:t>
            </w:r>
          </w:p>
        </w:tc>
        <w:tc>
          <w:tcPr>
            <w:tcW w:w="361" w:type="pct"/>
            <w:noWrap w:val="0"/>
            <w:vAlign w:val="center"/>
          </w:tcPr>
          <w:p w14:paraId="62446FDE">
            <w:pPr>
              <w:spacing w:line="360" w:lineRule="auto"/>
            </w:pPr>
            <w:r>
              <w:rPr>
                <w:rFonts w:hint="eastAsia"/>
              </w:rPr>
              <w:t>1项</w:t>
            </w:r>
          </w:p>
        </w:tc>
        <w:tc>
          <w:tcPr>
            <w:tcW w:w="497" w:type="pct"/>
            <w:noWrap w:val="0"/>
            <w:vAlign w:val="center"/>
          </w:tcPr>
          <w:p w14:paraId="2114008E">
            <w:pPr>
              <w:spacing w:line="360" w:lineRule="auto"/>
            </w:pPr>
            <w:r>
              <w:rPr>
                <w:rFonts w:hint="eastAsia"/>
              </w:rPr>
              <w:t>26000</w:t>
            </w:r>
          </w:p>
        </w:tc>
        <w:tc>
          <w:tcPr>
            <w:tcW w:w="491" w:type="pct"/>
            <w:noWrap w:val="0"/>
            <w:vAlign w:val="top"/>
          </w:tcPr>
          <w:p w14:paraId="57CF6C86">
            <w:pPr>
              <w:spacing w:line="360" w:lineRule="auto"/>
            </w:pPr>
          </w:p>
        </w:tc>
      </w:tr>
      <w:tr w14:paraId="06F263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4011" w:type="pct"/>
            <w:gridSpan w:val="5"/>
            <w:noWrap w:val="0"/>
            <w:vAlign w:val="top"/>
          </w:tcPr>
          <w:p w14:paraId="35D16D55">
            <w:pPr>
              <w:spacing w:line="360" w:lineRule="auto"/>
            </w:pPr>
            <w:r>
              <w:rPr>
                <w:rFonts w:hint="eastAsia"/>
              </w:rPr>
              <w:t>合计</w:t>
            </w:r>
          </w:p>
        </w:tc>
        <w:tc>
          <w:tcPr>
            <w:tcW w:w="497" w:type="pct"/>
            <w:noWrap w:val="0"/>
            <w:vAlign w:val="top"/>
          </w:tcPr>
          <w:p w14:paraId="5FD2751E">
            <w:pPr>
              <w:spacing w:line="360" w:lineRule="auto"/>
            </w:pPr>
            <w:r>
              <w:rPr>
                <w:rFonts w:hint="eastAsia"/>
              </w:rPr>
              <w:t>106000</w:t>
            </w:r>
          </w:p>
        </w:tc>
        <w:tc>
          <w:tcPr>
            <w:tcW w:w="491" w:type="pct"/>
            <w:noWrap w:val="0"/>
            <w:vAlign w:val="top"/>
          </w:tcPr>
          <w:p w14:paraId="6338BA33">
            <w:pPr>
              <w:spacing w:line="360" w:lineRule="auto"/>
            </w:pPr>
          </w:p>
        </w:tc>
      </w:tr>
    </w:tbl>
    <w:p w14:paraId="5AF0FB43">
      <w:pPr>
        <w:numPr>
          <w:ilvl w:val="0"/>
          <w:numId w:val="4"/>
        </w:numPr>
        <w:spacing w:line="360" w:lineRule="auto"/>
        <w:ind w:firstLine="480" w:firstLineChars="200"/>
        <w:rPr>
          <w:rFonts w:hint="eastAsia" w:ascii="宋体" w:hAnsi="宋体" w:cs="宋体"/>
          <w:sz w:val="24"/>
        </w:rPr>
      </w:pPr>
      <w:r>
        <w:rPr>
          <w:rFonts w:hint="eastAsia" w:ascii="宋体" w:hAnsi="宋体" w:cs="宋体"/>
          <w:sz w:val="24"/>
        </w:rPr>
        <w:t>支付方式</w:t>
      </w:r>
    </w:p>
    <w:p w14:paraId="17013B3C">
      <w:pPr>
        <w:spacing w:line="360" w:lineRule="auto"/>
        <w:ind w:firstLine="480" w:firstLineChars="200"/>
        <w:rPr>
          <w:rFonts w:hint="eastAsia" w:ascii="宋体" w:hAnsi="宋体" w:cs="宋体"/>
          <w:sz w:val="24"/>
        </w:rPr>
      </w:pPr>
      <w:r>
        <w:rPr>
          <w:rFonts w:hint="eastAsia" w:ascii="宋体" w:hAnsi="宋体" w:cs="宋体"/>
          <w:sz w:val="24"/>
        </w:rPr>
        <w:t>项目验收合格15日内，乙方向甲方开具全额增值税专用发票，技术服务增值税税率6%，甲方收到发票后10个工作日内给乙方支付合同总金额100％款项,共计</w:t>
      </w:r>
      <w:r>
        <w:rPr>
          <w:rFonts w:hint="eastAsia" w:ascii="宋体" w:hAnsi="宋体" w:cs="宋体"/>
          <w:sz w:val="24"/>
          <w:u w:val="single"/>
        </w:rPr>
        <w:t>人民币拾万陆仟元整（小写：¥106000.00）</w:t>
      </w:r>
      <w:r>
        <w:rPr>
          <w:rFonts w:hint="eastAsia" w:ascii="宋体" w:hAnsi="宋体" w:cs="宋体"/>
          <w:sz w:val="24"/>
        </w:rPr>
        <w:t>。</w:t>
      </w:r>
    </w:p>
    <w:p w14:paraId="3451F249">
      <w:pPr>
        <w:pStyle w:val="2"/>
        <w:spacing w:before="156" w:after="156"/>
      </w:pPr>
      <w:r>
        <w:rPr>
          <w:rFonts w:hint="eastAsia"/>
        </w:rPr>
        <w:t xml:space="preserve">违约条款   </w:t>
      </w:r>
    </w:p>
    <w:p w14:paraId="4E6E26BA">
      <w:pPr>
        <w:numPr>
          <w:ilvl w:val="0"/>
          <w:numId w:val="6"/>
        </w:numPr>
        <w:spacing w:line="360" w:lineRule="auto"/>
        <w:ind w:firstLine="480" w:firstLineChars="200"/>
        <w:rPr>
          <w:rFonts w:hint="eastAsia" w:ascii="宋体" w:hAnsi="宋体" w:cs="宋体"/>
          <w:sz w:val="24"/>
        </w:rPr>
      </w:pPr>
      <w:r>
        <w:rPr>
          <w:rFonts w:hint="eastAsia" w:ascii="宋体" w:hAnsi="宋体" w:cs="宋体"/>
          <w:sz w:val="24"/>
        </w:rPr>
        <w:t>任何一方未履行本合同约定的任何一项条款均被视为违约，甲方有权按照技术协议中的相关条款追究违约责任。</w:t>
      </w:r>
    </w:p>
    <w:p w14:paraId="2EBFE808">
      <w:pPr>
        <w:numPr>
          <w:ilvl w:val="0"/>
          <w:numId w:val="6"/>
        </w:numPr>
        <w:spacing w:line="360" w:lineRule="auto"/>
        <w:ind w:firstLine="480" w:firstLineChars="200"/>
        <w:rPr>
          <w:rFonts w:hint="eastAsia" w:ascii="宋体" w:hAnsi="宋体" w:cs="宋体"/>
          <w:sz w:val="24"/>
        </w:rPr>
      </w:pPr>
      <w:r>
        <w:rPr>
          <w:rFonts w:hint="eastAsia" w:ascii="宋体" w:hAnsi="宋体" w:cs="宋体"/>
          <w:sz w:val="24"/>
        </w:rPr>
        <w:t>若乙方逾期完成基于数字孪生技术在</w:t>
      </w:r>
      <w:r>
        <w:rPr>
          <w:rFonts w:hint="eastAsia" w:ascii="宋体" w:hAnsi="宋体" w:cs="宋体"/>
          <w:sz w:val="24"/>
          <w:lang w:eastAsia="zh-CN"/>
        </w:rPr>
        <w:t>XX</w:t>
      </w:r>
      <w:r>
        <w:rPr>
          <w:rFonts w:hint="eastAsia" w:ascii="宋体" w:hAnsi="宋体" w:cs="宋体"/>
          <w:sz w:val="24"/>
        </w:rPr>
        <w:t>信息安全领域的探索与应用项目，每逾期一周，需支付合同金额</w:t>
      </w:r>
      <w:r>
        <w:rPr>
          <w:rFonts w:hint="eastAsia" w:ascii="宋体" w:hAnsi="宋体" w:cs="宋体"/>
          <w:sz w:val="24"/>
          <w:u w:val="single"/>
        </w:rPr>
        <w:t xml:space="preserve"> 1% </w:t>
      </w:r>
      <w:r>
        <w:rPr>
          <w:rFonts w:hint="eastAsia" w:ascii="宋体" w:hAnsi="宋体" w:cs="宋体"/>
          <w:sz w:val="24"/>
        </w:rPr>
        <w:t>的违约金，逾期超过</w:t>
      </w:r>
      <w:r>
        <w:rPr>
          <w:rFonts w:hint="eastAsia" w:ascii="宋体" w:hAnsi="宋体" w:cs="宋体"/>
          <w:sz w:val="24"/>
          <w:u w:val="single"/>
        </w:rPr>
        <w:t xml:space="preserve"> 90 </w:t>
      </w:r>
      <w:r>
        <w:rPr>
          <w:rFonts w:hint="eastAsia" w:ascii="宋体" w:hAnsi="宋体" w:cs="宋体"/>
          <w:sz w:val="24"/>
        </w:rPr>
        <w:t>天，甲方有权单方解除合同，乙方需要在解除合同后的</w:t>
      </w:r>
      <w:r>
        <w:rPr>
          <w:rFonts w:hint="eastAsia" w:ascii="宋体" w:hAnsi="宋体" w:cs="宋体"/>
          <w:sz w:val="24"/>
          <w:u w:val="single"/>
        </w:rPr>
        <w:t xml:space="preserve"> 20 </w:t>
      </w:r>
      <w:r>
        <w:rPr>
          <w:rFonts w:hint="eastAsia" w:ascii="宋体" w:hAnsi="宋体" w:cs="宋体"/>
          <w:sz w:val="24"/>
        </w:rPr>
        <w:t>个工作日内退回甲方已经支付的合同价款。</w:t>
      </w:r>
    </w:p>
    <w:p w14:paraId="7540F196">
      <w:pPr>
        <w:numPr>
          <w:ilvl w:val="0"/>
          <w:numId w:val="6"/>
        </w:numPr>
        <w:spacing w:line="360" w:lineRule="auto"/>
        <w:ind w:firstLine="480" w:firstLineChars="200"/>
        <w:rPr>
          <w:rFonts w:hint="eastAsia" w:ascii="宋体" w:hAnsi="宋体" w:cs="宋体"/>
          <w:sz w:val="24"/>
        </w:rPr>
      </w:pPr>
      <w:r>
        <w:rPr>
          <w:rFonts w:hint="eastAsia" w:ascii="宋体" w:hAnsi="宋体" w:cs="宋体"/>
          <w:sz w:val="24"/>
        </w:rPr>
        <w:t>任何一方在收到对方的具体说明违约情况的书面通知后，应在</w:t>
      </w:r>
      <w:r>
        <w:rPr>
          <w:rFonts w:hint="eastAsia" w:ascii="宋体" w:hAnsi="宋体" w:cs="宋体"/>
          <w:sz w:val="24"/>
          <w:u w:val="single"/>
        </w:rPr>
        <w:t xml:space="preserve"> 5 </w:t>
      </w:r>
      <w:r>
        <w:rPr>
          <w:rFonts w:hint="eastAsia" w:ascii="宋体" w:hAnsi="宋体" w:cs="宋体"/>
          <w:sz w:val="24"/>
        </w:rPr>
        <w:t>个工作日内对此确认或提出书面异议或补充说明，否则视为其接受书面通知所述内容。在此情形下，双方应对此问题进行协商，协商不成的，按本合同第八条之约定解决。</w:t>
      </w:r>
    </w:p>
    <w:p w14:paraId="0D9C0F63">
      <w:pPr>
        <w:pStyle w:val="2"/>
        <w:spacing w:before="156" w:after="156"/>
      </w:pPr>
      <w:r>
        <w:rPr>
          <w:rFonts w:hint="eastAsia"/>
        </w:rPr>
        <w:t>风险责任的承担</w:t>
      </w:r>
      <w:r>
        <w:rPr>
          <w:rFonts w:hint="eastAsia"/>
        </w:rPr>
        <w:tab/>
      </w:r>
    </w:p>
    <w:p w14:paraId="2A2446EE">
      <w:pPr>
        <w:spacing w:line="360" w:lineRule="auto"/>
        <w:ind w:firstLine="480" w:firstLineChars="200"/>
        <w:rPr>
          <w:rFonts w:hint="eastAsia" w:ascii="宋体" w:hAnsi="宋体" w:cs="宋体"/>
          <w:sz w:val="24"/>
        </w:rPr>
      </w:pPr>
      <w:r>
        <w:rPr>
          <w:rFonts w:hint="eastAsia" w:ascii="宋体" w:hAnsi="宋体" w:cs="宋体"/>
          <w:sz w:val="24"/>
        </w:rPr>
        <w:t>若一方因不可抗力（包括：战争、地震、洪水、瘟疫、恐怖活动）不能履行本合同的，不承担本合同中确定的违约责任，但因不可抗力不能履约的一方，必须及时将该情况以正式书面形式于不可抗力发生日起</w:t>
      </w:r>
      <w:r>
        <w:rPr>
          <w:rFonts w:hint="eastAsia" w:ascii="宋体" w:hAnsi="宋体" w:cs="宋体"/>
          <w:sz w:val="24"/>
          <w:u w:val="single"/>
        </w:rPr>
        <w:t xml:space="preserve"> 5 </w:t>
      </w:r>
      <w:r>
        <w:rPr>
          <w:rFonts w:hint="eastAsia" w:ascii="宋体" w:hAnsi="宋体" w:cs="宋体"/>
          <w:sz w:val="24"/>
        </w:rPr>
        <w:t>个工作日内通知对方。否则，应承担相应的法律责任。</w:t>
      </w:r>
    </w:p>
    <w:p w14:paraId="0FAB1C7E">
      <w:pPr>
        <w:pStyle w:val="2"/>
        <w:spacing w:before="156" w:after="156"/>
      </w:pPr>
      <w:r>
        <w:rPr>
          <w:rFonts w:hint="eastAsia"/>
        </w:rPr>
        <w:t>解决协议纠纷的方式</w:t>
      </w:r>
    </w:p>
    <w:p w14:paraId="1990769A">
      <w:pPr>
        <w:spacing w:line="360" w:lineRule="auto"/>
        <w:ind w:firstLine="480" w:firstLineChars="200"/>
        <w:rPr>
          <w:rFonts w:hint="eastAsia" w:ascii="宋体" w:hAnsi="宋体" w:cs="宋体"/>
          <w:sz w:val="24"/>
        </w:rPr>
      </w:pPr>
      <w:r>
        <w:rPr>
          <w:rFonts w:hint="eastAsia" w:ascii="宋体" w:hAnsi="宋体" w:cs="宋体"/>
          <w:sz w:val="24"/>
        </w:rPr>
        <w:t>在履行本合同的过程中发生争议，双方当事人和解或调解不成，双方同意采用以下第</w:t>
      </w:r>
      <w:r>
        <w:rPr>
          <w:rFonts w:hint="eastAsia" w:ascii="宋体" w:hAnsi="宋体" w:cs="宋体"/>
          <w:sz w:val="24"/>
          <w:u w:val="single"/>
        </w:rPr>
        <w:t xml:space="preserve"> 2 </w:t>
      </w:r>
      <w:r>
        <w:rPr>
          <w:rFonts w:hint="eastAsia" w:ascii="宋体" w:hAnsi="宋体" w:cs="宋体"/>
          <w:sz w:val="24"/>
        </w:rPr>
        <w:t>种方式解决纠纷：</w:t>
      </w:r>
    </w:p>
    <w:p w14:paraId="4B7392F6">
      <w:pPr>
        <w:numPr>
          <w:ilvl w:val="0"/>
          <w:numId w:val="7"/>
        </w:numPr>
        <w:spacing w:line="360" w:lineRule="auto"/>
        <w:ind w:firstLine="480" w:firstLineChars="200"/>
        <w:rPr>
          <w:rFonts w:hint="eastAsia" w:ascii="宋体" w:hAnsi="宋体" w:cs="宋体"/>
          <w:sz w:val="24"/>
        </w:rPr>
      </w:pPr>
      <w:r>
        <w:rPr>
          <w:rFonts w:hint="eastAsia" w:ascii="宋体" w:hAnsi="宋体" w:cs="宋体"/>
          <w:sz w:val="24"/>
        </w:rPr>
        <w:t>双方同意由</w:t>
      </w:r>
      <w:r>
        <w:rPr>
          <w:rFonts w:hint="eastAsia" w:ascii="宋体" w:hAnsi="宋体" w:cs="宋体"/>
          <w:sz w:val="24"/>
          <w:u w:val="single"/>
        </w:rPr>
        <w:t xml:space="preserve"> / </w:t>
      </w:r>
      <w:r>
        <w:rPr>
          <w:rFonts w:hint="eastAsia" w:ascii="宋体" w:hAnsi="宋体" w:cs="宋体"/>
          <w:sz w:val="24"/>
        </w:rPr>
        <w:t>仲裁委员会仲裁。</w:t>
      </w:r>
    </w:p>
    <w:p w14:paraId="0C2791B0">
      <w:pPr>
        <w:numPr>
          <w:ilvl w:val="0"/>
          <w:numId w:val="7"/>
        </w:numPr>
        <w:spacing w:line="360" w:lineRule="auto"/>
        <w:ind w:firstLine="480" w:firstLineChars="200"/>
        <w:rPr>
          <w:rFonts w:hint="eastAsia" w:ascii="宋体" w:hAnsi="宋体" w:cs="宋体"/>
          <w:sz w:val="24"/>
        </w:rPr>
      </w:pPr>
      <w:r>
        <w:rPr>
          <w:rFonts w:hint="eastAsia" w:ascii="宋体" w:hAnsi="宋体" w:cs="宋体"/>
          <w:sz w:val="24"/>
        </w:rPr>
        <w:t>双方约定向</w:t>
      </w:r>
      <w:r>
        <w:rPr>
          <w:rFonts w:hint="eastAsia" w:ascii="宋体" w:hAnsi="宋体" w:cs="宋体"/>
          <w:sz w:val="24"/>
          <w:u w:val="single"/>
        </w:rPr>
        <w:t xml:space="preserve"> 甲方所在地 </w:t>
      </w:r>
      <w:r>
        <w:rPr>
          <w:rFonts w:hint="eastAsia" w:ascii="宋体" w:hAnsi="宋体" w:cs="宋体"/>
          <w:sz w:val="24"/>
        </w:rPr>
        <w:t xml:space="preserve">人民法院起诉。    </w:t>
      </w:r>
    </w:p>
    <w:p w14:paraId="7496831D">
      <w:pPr>
        <w:pStyle w:val="2"/>
        <w:spacing w:before="156" w:after="156"/>
      </w:pPr>
      <w:r>
        <w:rPr>
          <w:rFonts w:hint="eastAsia"/>
        </w:rPr>
        <w:t>知识产权</w:t>
      </w:r>
    </w:p>
    <w:p w14:paraId="03E45A9A">
      <w:pPr>
        <w:spacing w:line="360" w:lineRule="auto"/>
        <w:ind w:firstLine="480" w:firstLineChars="200"/>
        <w:rPr>
          <w:rFonts w:hint="eastAsia" w:ascii="宋体" w:hAnsi="宋体" w:cs="宋体"/>
          <w:sz w:val="24"/>
        </w:rPr>
      </w:pPr>
      <w:r>
        <w:rPr>
          <w:rFonts w:hint="eastAsia" w:ascii="宋体" w:hAnsi="宋体" w:cs="宋体"/>
          <w:sz w:val="24"/>
        </w:rPr>
        <w:t>双方确定，因履行本合同所产生的研究开发成果及其相关知识产权权利归属，按下列方式处理：</w:t>
      </w:r>
    </w:p>
    <w:p w14:paraId="51D9A7DD">
      <w:pPr>
        <w:spacing w:line="360" w:lineRule="auto"/>
        <w:ind w:firstLine="480" w:firstLineChars="200"/>
        <w:rPr>
          <w:rFonts w:hint="eastAsia" w:ascii="宋体" w:hAnsi="宋体" w:cs="宋体"/>
          <w:sz w:val="24"/>
        </w:rPr>
      </w:pPr>
      <w:r>
        <w:rPr>
          <w:rFonts w:hint="eastAsia" w:ascii="宋体" w:hAnsi="宋体" w:cs="宋体"/>
          <w:sz w:val="24"/>
        </w:rPr>
        <w:t>履行本合同产生的成果归</w:t>
      </w:r>
      <w:r>
        <w:rPr>
          <w:rFonts w:hint="eastAsia" w:ascii="宋体" w:hAnsi="宋体" w:cs="宋体"/>
          <w:sz w:val="24"/>
          <w:u w:val="single"/>
        </w:rPr>
        <w:t xml:space="preserve"> 甲 </w:t>
      </w:r>
      <w:r>
        <w:rPr>
          <w:rFonts w:hint="eastAsia" w:ascii="宋体" w:hAnsi="宋体" w:cs="宋体"/>
          <w:sz w:val="24"/>
        </w:rPr>
        <w:t>方所有。</w:t>
      </w:r>
    </w:p>
    <w:p w14:paraId="39B5A038">
      <w:pPr>
        <w:pStyle w:val="2"/>
        <w:spacing w:before="156" w:after="156"/>
      </w:pPr>
      <w:r>
        <w:rPr>
          <w:rFonts w:hint="eastAsia"/>
        </w:rPr>
        <w:t>保密条款</w:t>
      </w:r>
    </w:p>
    <w:p w14:paraId="3FDDB6CC">
      <w:pPr>
        <w:spacing w:line="360" w:lineRule="auto"/>
        <w:ind w:firstLine="480" w:firstLineChars="200"/>
        <w:rPr>
          <w:rFonts w:hint="eastAsia" w:ascii="宋体" w:hAnsi="宋体" w:cs="宋体"/>
          <w:sz w:val="24"/>
        </w:rPr>
      </w:pPr>
      <w:r>
        <w:rPr>
          <w:rFonts w:hint="eastAsia" w:ascii="宋体" w:hAnsi="宋体" w:cs="宋体"/>
          <w:sz w:val="24"/>
        </w:rPr>
        <w:t>双方均有责任对项目进行过程中了解到的对方资料信息和商业秘密严格保密。</w:t>
      </w:r>
    </w:p>
    <w:p w14:paraId="546E5E7E">
      <w:pPr>
        <w:spacing w:line="360" w:lineRule="auto"/>
        <w:ind w:firstLine="480" w:firstLineChars="200"/>
        <w:rPr>
          <w:rFonts w:hint="eastAsia" w:ascii="宋体" w:hAnsi="宋体" w:cs="宋体"/>
          <w:sz w:val="24"/>
        </w:rPr>
      </w:pPr>
      <w:r>
        <w:rPr>
          <w:rFonts w:hint="eastAsia" w:ascii="宋体" w:hAnsi="宋体" w:cs="宋体"/>
          <w:sz w:val="24"/>
        </w:rPr>
        <w:t>乙方参与本项目的人员应遵守国家、客户、甲方有关保密的法律法规和规定，在本项目执行前、执行期间以及执行后，对所接触和知悉的国家秘密和客户商业秘密都负有保密义务。</w:t>
      </w:r>
    </w:p>
    <w:p w14:paraId="5EC742A0">
      <w:pPr>
        <w:spacing w:line="360" w:lineRule="auto"/>
        <w:ind w:firstLine="480" w:firstLineChars="200"/>
        <w:rPr>
          <w:rFonts w:hint="eastAsia" w:ascii="宋体" w:hAnsi="宋体" w:cs="宋体"/>
          <w:sz w:val="24"/>
        </w:rPr>
      </w:pPr>
      <w:r>
        <w:rPr>
          <w:rFonts w:hint="eastAsia" w:ascii="宋体" w:hAnsi="宋体" w:cs="宋体"/>
          <w:sz w:val="24"/>
        </w:rPr>
        <w:t>双方均不得将本项目的成果物向第三方组织或个人提供。</w:t>
      </w:r>
    </w:p>
    <w:p w14:paraId="469C2C9E">
      <w:pPr>
        <w:pStyle w:val="2"/>
        <w:spacing w:before="156" w:after="156"/>
      </w:pPr>
      <w:r>
        <w:rPr>
          <w:rFonts w:hint="eastAsia"/>
        </w:rPr>
        <w:t>其它</w:t>
      </w:r>
    </w:p>
    <w:p w14:paraId="77BD9D75">
      <w:pPr>
        <w:numPr>
          <w:ilvl w:val="0"/>
          <w:numId w:val="8"/>
        </w:numPr>
        <w:spacing w:line="360" w:lineRule="auto"/>
        <w:ind w:firstLine="480" w:firstLineChars="200"/>
        <w:rPr>
          <w:rFonts w:hint="eastAsia" w:ascii="宋体" w:hAnsi="宋体" w:cs="宋体"/>
          <w:sz w:val="24"/>
        </w:rPr>
      </w:pPr>
      <w:r>
        <w:rPr>
          <w:rFonts w:hint="eastAsia" w:ascii="宋体" w:hAnsi="宋体" w:cs="宋体"/>
          <w:sz w:val="24"/>
        </w:rPr>
        <w:t>本合同任何一方给另一方的通知，都应以书面形式（信函、传真、电子邮件）发送至对方。</w:t>
      </w:r>
    </w:p>
    <w:p w14:paraId="260C55C1">
      <w:pPr>
        <w:numPr>
          <w:ilvl w:val="0"/>
          <w:numId w:val="8"/>
        </w:numPr>
        <w:spacing w:line="360" w:lineRule="auto"/>
        <w:ind w:firstLine="480" w:firstLineChars="200"/>
        <w:rPr>
          <w:rFonts w:hint="eastAsia" w:ascii="宋体" w:hAnsi="宋体" w:cs="宋体"/>
          <w:sz w:val="24"/>
        </w:rPr>
      </w:pPr>
      <w:r>
        <w:rPr>
          <w:rFonts w:hint="eastAsia" w:ascii="宋体" w:hAnsi="宋体" w:cs="宋体"/>
          <w:sz w:val="24"/>
        </w:rPr>
        <w:t>项目执行过程中，若甲方提出增加其它与本项目工作计划所规定之外的咨询内容、或者本合同所确定的服务费用不足以完成整个项目，经双方协商后另行签订补充协议书或单项协议书。</w:t>
      </w:r>
    </w:p>
    <w:p w14:paraId="5E558431">
      <w:pPr>
        <w:numPr>
          <w:ilvl w:val="0"/>
          <w:numId w:val="8"/>
        </w:numPr>
        <w:spacing w:line="360" w:lineRule="auto"/>
        <w:ind w:firstLine="480" w:firstLineChars="200"/>
        <w:rPr>
          <w:rFonts w:hint="eastAsia" w:ascii="宋体" w:hAnsi="宋体" w:cs="宋体"/>
          <w:sz w:val="24"/>
        </w:rPr>
      </w:pPr>
      <w:r>
        <w:rPr>
          <w:rFonts w:hint="eastAsia" w:ascii="宋体" w:hAnsi="宋体" w:cs="宋体"/>
          <w:sz w:val="24"/>
        </w:rPr>
        <w:t>未尽事宜，双方协商一致签署补充协议，经与本合同同等生效程序后，与本合同具有同等法律效力。</w:t>
      </w:r>
    </w:p>
    <w:p w14:paraId="42C3F3D8">
      <w:pPr>
        <w:numPr>
          <w:ilvl w:val="0"/>
          <w:numId w:val="8"/>
        </w:numPr>
        <w:spacing w:line="360" w:lineRule="auto"/>
        <w:ind w:firstLine="480" w:firstLineChars="200"/>
        <w:rPr>
          <w:rFonts w:hint="eastAsia" w:ascii="宋体" w:hAnsi="宋体" w:cs="宋体"/>
          <w:sz w:val="24"/>
        </w:rPr>
      </w:pPr>
      <w:r>
        <w:rPr>
          <w:rFonts w:hint="eastAsia" w:ascii="宋体" w:hAnsi="宋体" w:cs="宋体"/>
          <w:sz w:val="24"/>
        </w:rPr>
        <w:t>本合同自双方签字、盖章之日起生效。本合同一式</w:t>
      </w:r>
      <w:r>
        <w:rPr>
          <w:rFonts w:hint="eastAsia" w:ascii="宋体" w:hAnsi="宋体" w:cs="宋体"/>
          <w:sz w:val="24"/>
          <w:u w:val="single"/>
        </w:rPr>
        <w:t xml:space="preserve"> 肆 </w:t>
      </w:r>
      <w:r>
        <w:rPr>
          <w:rFonts w:hint="eastAsia" w:ascii="宋体" w:hAnsi="宋体" w:cs="宋体"/>
          <w:sz w:val="24"/>
        </w:rPr>
        <w:t>份，甲乙双方各执</w:t>
      </w:r>
      <w:r>
        <w:rPr>
          <w:rFonts w:hint="eastAsia" w:ascii="宋体" w:hAnsi="宋体" w:cs="宋体"/>
          <w:sz w:val="24"/>
          <w:u w:val="single"/>
        </w:rPr>
        <w:t xml:space="preserve"> 贰 </w:t>
      </w:r>
      <w:r>
        <w:rPr>
          <w:rFonts w:hint="eastAsia" w:ascii="宋体" w:hAnsi="宋体" w:cs="宋体"/>
          <w:sz w:val="24"/>
        </w:rPr>
        <w:t>份，具有同等法律效力。</w:t>
      </w:r>
    </w:p>
    <w:p w14:paraId="773A1B21">
      <w:pPr>
        <w:tabs>
          <w:tab w:val="left" w:pos="4240"/>
        </w:tabs>
        <w:spacing w:line="360" w:lineRule="auto"/>
        <w:jc w:val="left"/>
        <w:rPr>
          <w:rFonts w:hint="eastAsia" w:ascii="仿宋_GB2312" w:hAnsi="宋体" w:eastAsia="仿宋_GB2312" w:cs="Arial"/>
          <w:color w:val="000000"/>
          <w:sz w:val="24"/>
        </w:rPr>
      </w:pPr>
    </w:p>
    <w:p w14:paraId="28CEAD5B">
      <w:pPr>
        <w:jc w:val="left"/>
      </w:pPr>
    </w:p>
    <w:p w14:paraId="48EDEF2A">
      <w:pPr>
        <w:rPr>
          <w:sz w:val="24"/>
          <w:u w:val="single"/>
        </w:rPr>
      </w:pPr>
      <w:r>
        <w:rPr>
          <w:sz w:val="24"/>
          <w:u w:val="single"/>
        </w:rPr>
        <w:br w:type="page"/>
      </w:r>
    </w:p>
    <w:p w14:paraId="7C1FA964">
      <w:pPr>
        <w:pStyle w:val="2"/>
        <w:spacing w:before="156" w:after="156"/>
      </w:pPr>
      <w:r>
        <w:rPr>
          <w:rFonts w:hint="eastAsia"/>
        </w:rPr>
        <w:t>附件1：项目</w:t>
      </w:r>
      <w:r>
        <w:rPr>
          <w:rFonts w:hint="eastAsia"/>
          <w:lang w:val="en-US" w:eastAsia="zh-CN"/>
        </w:rPr>
        <w:t>服务范围</w:t>
      </w:r>
    </w:p>
    <w:p w14:paraId="23C186A6">
      <w:pPr>
        <w:pStyle w:val="3"/>
      </w:pPr>
      <w:r>
        <w:rPr>
          <w:rFonts w:hint="eastAsia"/>
        </w:rPr>
        <w:t>项目背景</w:t>
      </w:r>
    </w:p>
    <w:p w14:paraId="11BAA820">
      <w:pPr>
        <w:spacing w:line="360" w:lineRule="auto"/>
        <w:ind w:firstLine="480" w:firstLineChars="200"/>
        <w:rPr>
          <w:rFonts w:hint="eastAsia" w:ascii="宋体" w:hAnsi="宋体" w:cs="宋体"/>
          <w:sz w:val="24"/>
          <w:szCs w:val="32"/>
        </w:rPr>
      </w:pPr>
      <w:r>
        <w:rPr>
          <w:rFonts w:hint="eastAsia" w:ascii="宋体" w:hAnsi="宋体" w:cs="宋体"/>
          <w:sz w:val="24"/>
          <w:szCs w:val="32"/>
        </w:rPr>
        <w:t>当前，网络安全形势愈发严峻，企业对于提升网络安全和信息安全的需求也日益迫切。在此背景下，郑州市局在运维管理方面面临着诸多问题，包括人员不足、机房结构复杂、设备种类多样且分布广泛、各系统独立运行、时效性要求高、管理难度大以及协同处置困难等困境。 为有效应对这些挑战，郑州市局拟引入数字孪生仿真、C4D 模型设计、MBD 模型设计理念以及 MBE 数字企业技术，对网络环境和安全状况进行数字定义、建模和展示，以完善对网络空间安全状态的认知。同时，通过数据分析，运用自动化运维技术实现各种运维场景流程，自动进行网络空间的安全评估、预测性防护以及应急演练等，从而扩充网络安全态势感知的范围，提升其智能化程度，促进网络空间安全方案的改进，进一步推动</w:t>
      </w:r>
      <w:r>
        <w:rPr>
          <w:rFonts w:hint="eastAsia" w:ascii="宋体" w:hAnsi="宋体" w:cs="宋体"/>
          <w:sz w:val="24"/>
          <w:szCs w:val="32"/>
          <w:lang w:eastAsia="zh-CN"/>
        </w:rPr>
        <w:t>XX</w:t>
      </w:r>
      <w:r>
        <w:rPr>
          <w:rFonts w:hint="eastAsia" w:ascii="宋体" w:hAnsi="宋体" w:cs="宋体"/>
          <w:sz w:val="24"/>
          <w:szCs w:val="32"/>
        </w:rPr>
        <w:t>行业信息安全数字化转型升级。以数字驱动数据安全，以数据驱动智能决策，为</w:t>
      </w:r>
      <w:r>
        <w:rPr>
          <w:rFonts w:hint="eastAsia" w:ascii="宋体" w:hAnsi="宋体" w:cs="宋体"/>
          <w:sz w:val="24"/>
          <w:szCs w:val="32"/>
          <w:lang w:eastAsia="zh-CN"/>
        </w:rPr>
        <w:t>XX</w:t>
      </w:r>
      <w:r>
        <w:rPr>
          <w:rFonts w:hint="eastAsia" w:ascii="宋体" w:hAnsi="宋体" w:cs="宋体"/>
          <w:sz w:val="24"/>
          <w:szCs w:val="32"/>
        </w:rPr>
        <w:t>信息安全管理数字化赋能提供有力保障，加快</w:t>
      </w:r>
      <w:r>
        <w:rPr>
          <w:rFonts w:hint="eastAsia" w:ascii="宋体" w:hAnsi="宋体" w:cs="宋体"/>
          <w:sz w:val="24"/>
          <w:szCs w:val="32"/>
          <w:lang w:eastAsia="zh-CN"/>
        </w:rPr>
        <w:t>XX</w:t>
      </w:r>
      <w:r>
        <w:rPr>
          <w:rFonts w:hint="eastAsia" w:ascii="宋体" w:hAnsi="宋体" w:cs="宋体"/>
          <w:sz w:val="24"/>
          <w:szCs w:val="32"/>
        </w:rPr>
        <w:t>行业信息安全转型步伐。</w:t>
      </w:r>
    </w:p>
    <w:p w14:paraId="713A4B0C">
      <w:pPr>
        <w:pStyle w:val="2"/>
        <w:spacing w:before="156" w:after="156"/>
      </w:pPr>
      <w:r>
        <w:rPr>
          <w:rFonts w:hint="eastAsia"/>
        </w:rPr>
        <w:t>附件2：虚拟化平台部署实施</w:t>
      </w:r>
    </w:p>
    <w:p w14:paraId="2C4A5722">
      <w:pPr>
        <w:pStyle w:val="3"/>
      </w:pPr>
      <w:r>
        <w:rPr>
          <w:rFonts w:hint="eastAsia"/>
        </w:rPr>
        <w:t>需求调研与分析</w:t>
      </w:r>
    </w:p>
    <w:p w14:paraId="2138FBA5">
      <w:pPr>
        <w:spacing w:line="360" w:lineRule="auto"/>
        <w:ind w:firstLine="480" w:firstLineChars="200"/>
        <w:rPr>
          <w:rFonts w:hint="eastAsia" w:ascii="宋体" w:hAnsi="宋体" w:cs="宋体"/>
          <w:sz w:val="24"/>
          <w:szCs w:val="32"/>
        </w:rPr>
      </w:pPr>
      <w:r>
        <w:rPr>
          <w:rFonts w:hint="eastAsia" w:ascii="宋体" w:hAnsi="宋体" w:cs="宋体"/>
          <w:sz w:val="24"/>
          <w:szCs w:val="32"/>
        </w:rPr>
        <w:t>与客户进行深入沟通，详细了解项目的业务需求、服务运行要求以及现有 IT 基础设施情况，包括服务器硬件配置、网络拓扑结构、存储资源等信息。</w:t>
      </w:r>
    </w:p>
    <w:p w14:paraId="22E0A336">
      <w:pPr>
        <w:spacing w:line="360" w:lineRule="auto"/>
        <w:ind w:firstLine="480" w:firstLineChars="200"/>
        <w:rPr>
          <w:rFonts w:hint="eastAsia" w:ascii="宋体" w:hAnsi="宋体" w:cs="宋体"/>
          <w:sz w:val="24"/>
          <w:szCs w:val="32"/>
        </w:rPr>
      </w:pPr>
      <w:r>
        <w:rPr>
          <w:rFonts w:hint="eastAsia" w:ascii="宋体" w:hAnsi="宋体" w:cs="宋体"/>
          <w:sz w:val="24"/>
          <w:szCs w:val="32"/>
        </w:rPr>
        <w:t>对收集到的信息进行全面分析，评估天融信超融合软件在客户环境中的适用性，确定虚拟化平台的规模（如虚拟机数量、资源配置需求等）、性能要求（如 CPU、内存、存储和网络带宽需求）以及安全需求（如网络隔离、数据加密等），为后续制定详细的部署方案提供依据。</w:t>
      </w:r>
    </w:p>
    <w:p w14:paraId="7A29FFB4">
      <w:pPr>
        <w:pStyle w:val="3"/>
      </w:pPr>
      <w:r>
        <w:rPr>
          <w:rFonts w:hint="eastAsia"/>
        </w:rPr>
        <w:t>技术方案设计</w:t>
      </w:r>
    </w:p>
    <w:p w14:paraId="73D4775B">
      <w:pPr>
        <w:spacing w:line="360" w:lineRule="auto"/>
        <w:ind w:firstLine="480" w:firstLineChars="200"/>
        <w:rPr>
          <w:rFonts w:hint="eastAsia" w:ascii="宋体" w:hAnsi="宋体" w:cs="宋体"/>
          <w:sz w:val="24"/>
          <w:szCs w:val="32"/>
        </w:rPr>
      </w:pPr>
      <w:r>
        <w:rPr>
          <w:rFonts w:hint="eastAsia" w:ascii="宋体" w:hAnsi="宋体" w:cs="宋体"/>
          <w:sz w:val="24"/>
          <w:szCs w:val="32"/>
        </w:rPr>
        <w:t>根据需求调研结果，设计针对性的虚拟化平台部署技术方案，包括天融信超融合软件的版本选择、服务器硬件配置建议（如 CPU 核心数、内存容量、硬盘类型和容量等）、网络架构设计（如物理网络拓扑、虚拟网络配置、IP 地址规划等）、存储方案规划（如本地存储配置、分布式存储策略等）以及高可用性和备份恢复策略制定。</w:t>
      </w:r>
    </w:p>
    <w:p w14:paraId="45A941D2">
      <w:pPr>
        <w:spacing w:line="360" w:lineRule="auto"/>
        <w:ind w:firstLine="480" w:firstLineChars="200"/>
        <w:rPr>
          <w:rFonts w:hint="eastAsia" w:ascii="宋体" w:hAnsi="宋体" w:cs="宋体"/>
          <w:sz w:val="24"/>
          <w:szCs w:val="32"/>
        </w:rPr>
      </w:pPr>
      <w:r>
        <w:rPr>
          <w:rFonts w:hint="eastAsia" w:ascii="宋体" w:hAnsi="宋体" w:cs="宋体"/>
          <w:sz w:val="24"/>
          <w:szCs w:val="32"/>
        </w:rPr>
        <w:t>明确部署实施计划，将整个部署过程划分为多个阶段，每个阶段设定明确的任务、责任人、时间节点和交付成果，确保部署工作有序进行。同时，制定详细的测试计划，包括功能测试、性能测试、稳定性测试和兼容性测试等内容，以验证虚拟化平台部署后的各项指标是否满足项目要求。</w:t>
      </w:r>
    </w:p>
    <w:p w14:paraId="0C3DF0D1">
      <w:pPr>
        <w:pStyle w:val="3"/>
      </w:pPr>
      <w:r>
        <w:rPr>
          <w:rFonts w:hint="eastAsia"/>
        </w:rPr>
        <w:t>环境准备</w:t>
      </w:r>
    </w:p>
    <w:p w14:paraId="3EDF1F9C">
      <w:pPr>
        <w:spacing w:line="360" w:lineRule="auto"/>
        <w:ind w:firstLine="480" w:firstLineChars="200"/>
        <w:rPr>
          <w:rFonts w:hint="eastAsia" w:ascii="宋体" w:hAnsi="宋体" w:cs="宋体"/>
          <w:sz w:val="24"/>
          <w:szCs w:val="32"/>
        </w:rPr>
      </w:pPr>
      <w:r>
        <w:rPr>
          <w:rFonts w:hint="eastAsia" w:ascii="宋体" w:hAnsi="宋体" w:cs="宋体"/>
          <w:sz w:val="24"/>
          <w:szCs w:val="32"/>
        </w:rPr>
        <w:t>协助客户进行服务器硬件环境的准备工作，根据技术方案的要求对服务器进行硬件安装、固件升级、BIOS 设置调整等操作，确保服务器硬件处于最佳状态，满足天融信超融合软件的安装要求。</w:t>
      </w:r>
    </w:p>
    <w:p w14:paraId="415CB430">
      <w:pPr>
        <w:spacing w:line="360" w:lineRule="auto"/>
        <w:ind w:firstLine="480" w:firstLineChars="200"/>
        <w:rPr>
          <w:rFonts w:hint="eastAsia" w:ascii="宋体" w:hAnsi="宋体" w:cs="宋体"/>
          <w:sz w:val="24"/>
          <w:szCs w:val="32"/>
        </w:rPr>
      </w:pPr>
      <w:r>
        <w:rPr>
          <w:rFonts w:hint="eastAsia" w:ascii="宋体" w:hAnsi="宋体" w:cs="宋体"/>
          <w:sz w:val="24"/>
          <w:szCs w:val="32"/>
        </w:rPr>
        <w:t>准备网络环境，按照网络架构设计方案进行网络设备（如交换机、路由器）的配置，包括 VLAN 划分、端口配置、IP 地址分配、路由策略设置等，确保网络通信的稳定和顺畅，为虚拟化平台的部署提供良好的网络基础。</w:t>
      </w:r>
    </w:p>
    <w:p w14:paraId="2A68E1FB">
      <w:pPr>
        <w:spacing w:line="360" w:lineRule="auto"/>
        <w:ind w:firstLine="480" w:firstLineChars="200"/>
        <w:rPr>
          <w:rFonts w:hint="eastAsia" w:ascii="宋体" w:hAnsi="宋体" w:cs="宋体"/>
          <w:sz w:val="24"/>
          <w:szCs w:val="32"/>
        </w:rPr>
      </w:pPr>
      <w:r>
        <w:rPr>
          <w:rFonts w:hint="eastAsia" w:ascii="宋体" w:hAnsi="宋体" w:cs="宋体"/>
          <w:sz w:val="24"/>
          <w:szCs w:val="32"/>
        </w:rPr>
        <w:t>确认存储资源的可用性和配置情况，根据存储方案规划对本地存储或外部存储设备进行初始化配置，创建存储池、设置存储策略等，为虚拟化平台提供可靠的存储支持。</w:t>
      </w:r>
    </w:p>
    <w:p w14:paraId="1B5D90DC">
      <w:pPr>
        <w:pStyle w:val="3"/>
      </w:pPr>
      <w:r>
        <w:rPr>
          <w:rFonts w:hint="eastAsia"/>
        </w:rPr>
        <w:t>软件安装与配置</w:t>
      </w:r>
    </w:p>
    <w:p w14:paraId="52C20224">
      <w:pPr>
        <w:spacing w:line="360" w:lineRule="auto"/>
        <w:ind w:firstLine="480" w:firstLineChars="200"/>
        <w:rPr>
          <w:rFonts w:hint="eastAsia" w:ascii="宋体" w:hAnsi="宋体" w:cs="宋体"/>
          <w:sz w:val="24"/>
          <w:szCs w:val="32"/>
        </w:rPr>
      </w:pPr>
      <w:r>
        <w:rPr>
          <w:rFonts w:hint="eastAsia" w:ascii="宋体" w:hAnsi="宋体" w:cs="宋体"/>
          <w:sz w:val="24"/>
          <w:szCs w:val="32"/>
        </w:rPr>
        <w:t>在准备好的服务器上安装天融信超融合软件，按照软件安装向导进行操作，确保安装过程顺利完成，软件组件正确安装并注册。</w:t>
      </w:r>
    </w:p>
    <w:p w14:paraId="09F4E7BB">
      <w:pPr>
        <w:spacing w:line="360" w:lineRule="auto"/>
        <w:ind w:firstLine="480" w:firstLineChars="200"/>
        <w:rPr>
          <w:rFonts w:hint="eastAsia" w:ascii="宋体" w:hAnsi="宋体" w:cs="宋体"/>
          <w:sz w:val="24"/>
          <w:szCs w:val="32"/>
        </w:rPr>
      </w:pPr>
      <w:r>
        <w:rPr>
          <w:rFonts w:hint="eastAsia" w:ascii="宋体" w:hAnsi="宋体" w:cs="宋体"/>
          <w:sz w:val="24"/>
          <w:szCs w:val="32"/>
        </w:rPr>
        <w:t>对天融信超融合软件进行初始化配置，包括设置集群名称、节点信息、管理 IP 地址、管理员账号密码等基本参数，配置网络连接（如虚拟交换机设置、VLAN 绑定等）、存储资源分配（如存储卷创建、挂载点设置等）以及安全策略（如访问控制规则、防火墙策略等），使虚拟化平台具备初步运行条件。</w:t>
      </w:r>
    </w:p>
    <w:p w14:paraId="3C6509BA">
      <w:pPr>
        <w:pStyle w:val="3"/>
      </w:pPr>
      <w:r>
        <w:rPr>
          <w:rFonts w:hint="eastAsia"/>
        </w:rPr>
        <w:t>虚拟机部署与配置</w:t>
      </w:r>
    </w:p>
    <w:p w14:paraId="0861F1AC">
      <w:pPr>
        <w:spacing w:line="360" w:lineRule="auto"/>
        <w:ind w:firstLine="480" w:firstLineChars="200"/>
        <w:rPr>
          <w:rFonts w:hint="eastAsia" w:ascii="宋体" w:hAnsi="宋体" w:cs="宋体"/>
          <w:sz w:val="24"/>
          <w:szCs w:val="32"/>
        </w:rPr>
      </w:pPr>
      <w:r>
        <w:rPr>
          <w:rFonts w:hint="eastAsia" w:ascii="宋体" w:hAnsi="宋体" w:cs="宋体"/>
          <w:sz w:val="24"/>
          <w:szCs w:val="32"/>
        </w:rPr>
        <w:t>根据客户业务需求，创建和部署虚拟机，包括选择合适的操作系统模板、配置虚拟机的硬件资源（如 CPU 核心数、内存大小、硬盘容量和网络连接方式等）、安装操作系统和应用程序，确保虚拟机能够正常运行业务服务。</w:t>
      </w:r>
    </w:p>
    <w:p w14:paraId="495B2496">
      <w:pPr>
        <w:spacing w:line="360" w:lineRule="auto"/>
        <w:ind w:firstLine="480" w:firstLineChars="200"/>
        <w:rPr>
          <w:rFonts w:hint="eastAsia" w:ascii="宋体" w:hAnsi="宋体" w:cs="宋体"/>
          <w:sz w:val="24"/>
          <w:szCs w:val="32"/>
        </w:rPr>
      </w:pPr>
      <w:r>
        <w:rPr>
          <w:rFonts w:hint="eastAsia" w:ascii="宋体" w:hAnsi="宋体" w:cs="宋体"/>
          <w:sz w:val="24"/>
          <w:szCs w:val="32"/>
        </w:rPr>
        <w:t>对虚拟机进行个性化配置，如设置主机名、IP 地址、DNS 服务器、安全组规则等，优化虚拟机的性能（如调整操作系统参数、启用内存优化技术等），使其满足业务系统的运行要求。同时，建立虚拟机的备份和恢复策略，确保虚拟机数据的安全性和可恢复性。</w:t>
      </w:r>
    </w:p>
    <w:p w14:paraId="7A590047">
      <w:pPr>
        <w:pStyle w:val="3"/>
      </w:pPr>
      <w:r>
        <w:rPr>
          <w:rFonts w:hint="eastAsia"/>
        </w:rPr>
        <w:t>功能测试与验证</w:t>
      </w:r>
    </w:p>
    <w:p w14:paraId="464EDE3F">
      <w:pPr>
        <w:spacing w:line="360" w:lineRule="auto"/>
        <w:ind w:firstLine="480" w:firstLineChars="200"/>
        <w:rPr>
          <w:rFonts w:hint="eastAsia" w:ascii="宋体" w:hAnsi="宋体" w:cs="宋体"/>
          <w:sz w:val="24"/>
          <w:szCs w:val="32"/>
        </w:rPr>
      </w:pPr>
      <w:r>
        <w:rPr>
          <w:rFonts w:hint="eastAsia" w:ascii="宋体" w:hAnsi="宋体" w:cs="宋体"/>
          <w:sz w:val="24"/>
          <w:szCs w:val="32"/>
        </w:rPr>
        <w:t>按照测试计划，对虚拟化平台的各项功能进行全面测试，包括虚拟机的创建、启动、停止、暂停、迁移等基本操作功能，网络通信功能（如虚拟机之间的网络连接、虚拟机与外部网络的通信），存储功能（如数据存储、快照功能、克隆功能等），高可用性功能（如虚拟机故障自动迁移、节点故障切换等）以及安全功能（如访问控制、数据加密、入侵检测等）。</w:t>
      </w:r>
    </w:p>
    <w:p w14:paraId="36AAAE8E">
      <w:pPr>
        <w:spacing w:line="360" w:lineRule="auto"/>
        <w:ind w:firstLine="480" w:firstLineChars="200"/>
        <w:rPr>
          <w:rFonts w:hint="eastAsia" w:ascii="宋体" w:hAnsi="宋体" w:cs="宋体"/>
          <w:sz w:val="24"/>
          <w:szCs w:val="32"/>
        </w:rPr>
      </w:pPr>
      <w:r>
        <w:rPr>
          <w:rFonts w:hint="eastAsia" w:ascii="宋体" w:hAnsi="宋体" w:cs="宋体"/>
          <w:sz w:val="24"/>
          <w:szCs w:val="32"/>
        </w:rPr>
        <w:t>对测试结果进行详细记录和分析，及时发现并解决功能缺陷或异常情况。对于发现的问题，进行分类整理，制定问题解决方案，并跟踪问题解决进度，确保所有问题得到妥善解决，虚拟化平台功能完全符合项目要求。</w:t>
      </w:r>
    </w:p>
    <w:p w14:paraId="4B23A423">
      <w:pPr>
        <w:pStyle w:val="3"/>
      </w:pPr>
      <w:r>
        <w:rPr>
          <w:rFonts w:hint="eastAsia"/>
        </w:rPr>
        <w:t>性能测试与优化</w:t>
      </w:r>
    </w:p>
    <w:p w14:paraId="5C280001">
      <w:pPr>
        <w:spacing w:line="360" w:lineRule="auto"/>
        <w:ind w:firstLine="480" w:firstLineChars="200"/>
        <w:rPr>
          <w:rFonts w:hint="eastAsia" w:ascii="宋体" w:hAnsi="宋体" w:cs="宋体"/>
          <w:sz w:val="24"/>
          <w:szCs w:val="32"/>
        </w:rPr>
      </w:pPr>
      <w:r>
        <w:rPr>
          <w:rFonts w:hint="eastAsia" w:ascii="宋体" w:hAnsi="宋体" w:cs="宋体"/>
          <w:sz w:val="24"/>
          <w:szCs w:val="32"/>
        </w:rPr>
        <w:t>使用专业的性能测试工具，模拟实际业务场景下的负载情况，对虚拟化平台的性能进行测试。性能测试指标包括虚拟机的响应时间、吞吐量、并发连接数，虚拟化平台的 CPU 使用率、内存利用率、存储 I/O 性能、网络带宽利用率等。</w:t>
      </w:r>
    </w:p>
    <w:p w14:paraId="06CF48AC">
      <w:pPr>
        <w:spacing w:line="360" w:lineRule="auto"/>
        <w:ind w:firstLine="480" w:firstLineChars="200"/>
        <w:rPr>
          <w:rFonts w:hint="eastAsia" w:ascii="宋体" w:hAnsi="宋体" w:cs="宋体"/>
          <w:sz w:val="24"/>
          <w:szCs w:val="32"/>
        </w:rPr>
      </w:pPr>
      <w:r>
        <w:rPr>
          <w:rFonts w:hint="eastAsia" w:ascii="宋体" w:hAnsi="宋体" w:cs="宋体"/>
          <w:sz w:val="24"/>
          <w:szCs w:val="32"/>
        </w:rPr>
        <w:t>根据性能测试结果，分析性能瓶颈所在，如服务器硬件资源不足、虚拟化软件配置不合理、网络延迟过高、存储性能瓶颈等。针对性能瓶颈问题，采取相应的优化措施，如升级服务器硬件、调整虚拟化软件参数（如内存分配策略、CPU 调度算法等）、优化网络配置（如增加网络带宽、调整网络拓扑结构等）、优化存储架构（如更换高性能存储设备、调整存储策略等），提高虚拟化平台的整体性能，确保服务在虚拟化环境下能够高效稳定运行。</w:t>
      </w:r>
    </w:p>
    <w:p w14:paraId="36D35B3F">
      <w:pPr>
        <w:pStyle w:val="3"/>
      </w:pPr>
      <w:r>
        <w:rPr>
          <w:rFonts w:hint="eastAsia"/>
        </w:rPr>
        <w:t>稳定性测试与保障</w:t>
      </w:r>
    </w:p>
    <w:p w14:paraId="53FAD099">
      <w:pPr>
        <w:spacing w:line="360" w:lineRule="auto"/>
        <w:ind w:firstLine="480" w:firstLineChars="200"/>
        <w:rPr>
          <w:rFonts w:hint="eastAsia" w:ascii="宋体" w:hAnsi="宋体" w:cs="宋体"/>
          <w:sz w:val="24"/>
          <w:szCs w:val="32"/>
        </w:rPr>
      </w:pPr>
      <w:r>
        <w:rPr>
          <w:rFonts w:hint="eastAsia" w:ascii="宋体" w:hAnsi="宋体" w:cs="宋体"/>
          <w:sz w:val="24"/>
          <w:szCs w:val="32"/>
        </w:rPr>
        <w:t>进行长时间的稳定性测试，模拟虚拟化平台在持续运行状态下的各种情况，观察平台是否出现故障、虚拟机是否异常退出、数据是否丢失等问题。稳定性测试时间应根据项目实际需求确定，一般不少于 72 小时。</w:t>
      </w:r>
    </w:p>
    <w:p w14:paraId="37CAE269">
      <w:pPr>
        <w:spacing w:line="360" w:lineRule="auto"/>
        <w:ind w:firstLine="480" w:firstLineChars="200"/>
        <w:rPr>
          <w:rFonts w:hint="eastAsia" w:ascii="宋体" w:hAnsi="宋体" w:cs="宋体"/>
          <w:sz w:val="24"/>
          <w:szCs w:val="32"/>
        </w:rPr>
      </w:pPr>
      <w:r>
        <w:rPr>
          <w:rFonts w:hint="eastAsia" w:ascii="宋体" w:hAnsi="宋体" w:cs="宋体"/>
          <w:sz w:val="24"/>
          <w:szCs w:val="32"/>
        </w:rPr>
        <w:t>在稳定性测试过程中，实时监测虚拟化平台的运行状态，记录各项性能指标和日志信息。对出现的问题及时进行分析和处理，采取有效的措施保障平台的稳定性，如优化服务器散热条件、调整系统资源分配、修复软件漏洞等。确保虚拟化平台在长时间运行过程中能够稳定可靠地工作，为业务系统提供持续的服务支持。</w:t>
      </w:r>
    </w:p>
    <w:p w14:paraId="7E723CAB">
      <w:pPr>
        <w:pStyle w:val="2"/>
        <w:spacing w:before="156" w:after="156"/>
      </w:pPr>
      <w:r>
        <w:rPr>
          <w:rFonts w:hint="eastAsia"/>
        </w:rPr>
        <w:t>附件3：设备对接及调试</w:t>
      </w:r>
    </w:p>
    <w:p w14:paraId="62D3C429">
      <w:pPr>
        <w:pStyle w:val="3"/>
      </w:pPr>
      <w:r>
        <w:rPr>
          <w:rFonts w:hint="eastAsia"/>
        </w:rPr>
        <w:t>设备对接及调试清单</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9"/>
        <w:gridCol w:w="7793"/>
      </w:tblGrid>
      <w:tr w14:paraId="315301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9" w:type="dxa"/>
            <w:shd w:val="clear" w:color="auto" w:fill="D8D8D8"/>
            <w:noWrap w:val="0"/>
            <w:vAlign w:val="center"/>
          </w:tcPr>
          <w:p w14:paraId="69F0426A">
            <w:pPr>
              <w:rPr>
                <w:b/>
                <w:bCs/>
              </w:rPr>
            </w:pPr>
            <w:r>
              <w:rPr>
                <w:rFonts w:hint="eastAsia"/>
                <w:b/>
                <w:bCs/>
              </w:rPr>
              <w:t>设备分布</w:t>
            </w:r>
          </w:p>
        </w:tc>
        <w:tc>
          <w:tcPr>
            <w:tcW w:w="7793" w:type="dxa"/>
            <w:shd w:val="clear" w:color="auto" w:fill="D8D8D8"/>
            <w:noWrap w:val="0"/>
            <w:vAlign w:val="center"/>
          </w:tcPr>
          <w:p w14:paraId="09C2F18A">
            <w:pPr>
              <w:rPr>
                <w:b/>
                <w:bCs/>
              </w:rPr>
            </w:pPr>
            <w:r>
              <w:rPr>
                <w:rFonts w:hint="eastAsia"/>
                <w:b/>
                <w:bCs/>
              </w:rPr>
              <w:t>设备清单</w:t>
            </w:r>
          </w:p>
        </w:tc>
      </w:tr>
      <w:tr w14:paraId="307E24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9" w:type="dxa"/>
            <w:noWrap w:val="0"/>
            <w:vAlign w:val="center"/>
          </w:tcPr>
          <w:p w14:paraId="16B7BE3E">
            <w:bookmarkStart w:id="2" w:name="_GoBack"/>
            <w:bookmarkEnd w:id="2"/>
          </w:p>
        </w:tc>
        <w:tc>
          <w:tcPr>
            <w:tcW w:w="7793" w:type="dxa"/>
            <w:noWrap w:val="0"/>
            <w:vAlign w:val="center"/>
          </w:tcPr>
          <w:p w14:paraId="1CD07AE1">
            <w:r>
              <w:rPr>
                <w:rFonts w:hint="eastAsia"/>
              </w:rPr>
              <w:t>深信服办公网防火墙主、深信服办公网防火墙备、天融信内网防火墙主、天融信内网防火墙备、深信服上网行为管理、天泰WEB应用防火墙、山石互联网防火墙主、山石互联网防火墙备、互联网出口负载、运维区防火墙、天融信数据库审计、盈高安全准入、深信服VPN主、深信服VPN备、带外管理、网御漏洞扫描、深信服无线控制器、奇安信流量探针、奇安信天眼态势感知、帕拉迪堡垒机、工控主机安全监管平台、VPN外置数据中心、AC外置数据中心、奇安信杀毒平台、天融信日志审计、市局负载、</w:t>
            </w:r>
            <w:r>
              <w:t>Security-SW</w:t>
            </w:r>
            <w:r>
              <w:rPr>
                <w:rFonts w:hint="eastAsia"/>
              </w:rPr>
              <w:t>。</w:t>
            </w:r>
          </w:p>
        </w:tc>
      </w:tr>
      <w:tr w14:paraId="718F42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9" w:type="dxa"/>
            <w:noWrap w:val="0"/>
            <w:vAlign w:val="center"/>
          </w:tcPr>
          <w:p w14:paraId="18A2D3D7"/>
        </w:tc>
        <w:tc>
          <w:tcPr>
            <w:tcW w:w="7793" w:type="dxa"/>
            <w:noWrap w:val="0"/>
            <w:vAlign w:val="center"/>
          </w:tcPr>
          <w:p w14:paraId="30D3176A">
            <w:r>
              <w:rPr>
                <w:rFonts w:hint="eastAsia"/>
              </w:rPr>
              <w:t>卷烟配送中心防火墙、工控防火墙、工业审计系统、工控日志审计、工控堡垒机、工控入侵检测、锐捷交换机、省局路由器h3c56-60－主、省局路由器h3c56-60－备、核心交换机-主、核心交换机-备、办公网汇聚交换机、</w:t>
            </w:r>
            <w:r>
              <w:t>huawei5720-10#</w:t>
            </w:r>
            <w:r>
              <w:rPr>
                <w:rFonts w:hint="eastAsia"/>
              </w:rPr>
              <w:t>、</w:t>
            </w:r>
            <w:r>
              <w:t>huawei5720-9#</w:t>
            </w:r>
            <w:r>
              <w:rPr>
                <w:rFonts w:hint="eastAsia"/>
              </w:rPr>
              <w:t>、</w:t>
            </w:r>
            <w:r>
              <w:t>huawei5720-8#</w:t>
            </w:r>
            <w:r>
              <w:rPr>
                <w:rFonts w:hint="eastAsia"/>
              </w:rPr>
              <w:t>、</w:t>
            </w:r>
            <w:r>
              <w:t>huawei5720-7#</w:t>
            </w:r>
            <w:r>
              <w:rPr>
                <w:rFonts w:hint="eastAsia"/>
              </w:rPr>
              <w:t>、</w:t>
            </w:r>
            <w:r>
              <w:t>huawei5720-6#</w:t>
            </w:r>
            <w:r>
              <w:rPr>
                <w:rFonts w:hint="eastAsia"/>
              </w:rPr>
              <w:t>、</w:t>
            </w:r>
            <w:r>
              <w:t>huawei5720-5#</w:t>
            </w:r>
            <w:r>
              <w:rPr>
                <w:rFonts w:hint="eastAsia"/>
              </w:rPr>
              <w:t>、</w:t>
            </w:r>
            <w:r>
              <w:t>huawei5720-4#</w:t>
            </w:r>
            <w:r>
              <w:rPr>
                <w:rFonts w:hint="eastAsia"/>
              </w:rPr>
              <w:t>、</w:t>
            </w:r>
            <w:r>
              <w:t>huawei5720-3#</w:t>
            </w:r>
            <w:r>
              <w:rPr>
                <w:rFonts w:hint="eastAsia"/>
              </w:rPr>
              <w:t>、</w:t>
            </w:r>
            <w:r>
              <w:t>huawei5720-2#</w:t>
            </w:r>
            <w:r>
              <w:rPr>
                <w:rFonts w:hint="eastAsia"/>
              </w:rPr>
              <w:t>、</w:t>
            </w:r>
            <w:r>
              <w:t>huawei5720-1#</w:t>
            </w:r>
            <w:r>
              <w:rPr>
                <w:rFonts w:hint="eastAsia"/>
              </w:rPr>
              <w:t>、</w:t>
            </w:r>
            <w:r>
              <w:t>1F_S3352_1</w:t>
            </w:r>
            <w:r>
              <w:rPr>
                <w:rFonts w:hint="eastAsia"/>
              </w:rPr>
              <w:t>、</w:t>
            </w:r>
            <w:r>
              <w:t>1F_S3352_2</w:t>
            </w:r>
            <w:r>
              <w:rPr>
                <w:rFonts w:hint="eastAsia"/>
              </w:rPr>
              <w:t>、</w:t>
            </w:r>
            <w:r>
              <w:t>1F_S3328_3</w:t>
            </w:r>
            <w:r>
              <w:rPr>
                <w:rFonts w:hint="eastAsia"/>
              </w:rPr>
              <w:t>、</w:t>
            </w:r>
            <w:r>
              <w:t>2F_S3352_1</w:t>
            </w:r>
            <w:r>
              <w:rPr>
                <w:rFonts w:hint="eastAsia"/>
              </w:rPr>
              <w:t>、</w:t>
            </w:r>
            <w:r>
              <w:t>2F_S3352_2</w:t>
            </w:r>
            <w:r>
              <w:rPr>
                <w:rFonts w:hint="eastAsia"/>
              </w:rPr>
              <w:t>、</w:t>
            </w:r>
            <w:r>
              <w:t>2F_S3328_1</w:t>
            </w:r>
            <w:r>
              <w:rPr>
                <w:rFonts w:hint="eastAsia"/>
              </w:rPr>
              <w:t>、</w:t>
            </w:r>
            <w:r>
              <w:t>3F_S3352_1</w:t>
            </w:r>
            <w:r>
              <w:rPr>
                <w:rFonts w:hint="eastAsia"/>
              </w:rPr>
              <w:t>、</w:t>
            </w:r>
            <w:r>
              <w:t>3F_S3352_2</w:t>
            </w:r>
            <w:r>
              <w:rPr>
                <w:rFonts w:hint="eastAsia"/>
              </w:rPr>
              <w:t>、</w:t>
            </w:r>
            <w:r>
              <w:t>3F_S3328_1</w:t>
            </w:r>
            <w:r>
              <w:rPr>
                <w:rFonts w:hint="eastAsia"/>
              </w:rPr>
              <w:t>、</w:t>
            </w:r>
            <w:r>
              <w:t>4F_S3352_1</w:t>
            </w:r>
            <w:r>
              <w:rPr>
                <w:rFonts w:hint="eastAsia"/>
              </w:rPr>
              <w:t>、</w:t>
            </w:r>
            <w:r>
              <w:t>4F_S3352_2</w:t>
            </w:r>
            <w:r>
              <w:rPr>
                <w:rFonts w:hint="eastAsia"/>
              </w:rPr>
              <w:t>、</w:t>
            </w:r>
            <w:r>
              <w:t>4F_S3328_3</w:t>
            </w:r>
            <w:r>
              <w:rPr>
                <w:rFonts w:hint="eastAsia"/>
              </w:rPr>
              <w:t>、</w:t>
            </w:r>
            <w:r>
              <w:t>5F_s5700_1</w:t>
            </w:r>
            <w:r>
              <w:rPr>
                <w:rFonts w:hint="eastAsia"/>
              </w:rPr>
              <w:t>、</w:t>
            </w:r>
            <w:r>
              <w:t>5F_S3352_2</w:t>
            </w:r>
            <w:r>
              <w:rPr>
                <w:rFonts w:hint="eastAsia"/>
              </w:rPr>
              <w:t>、</w:t>
            </w:r>
            <w:r>
              <w:t>5F_S3328_3</w:t>
            </w:r>
            <w:r>
              <w:rPr>
                <w:rFonts w:hint="eastAsia"/>
              </w:rPr>
              <w:t>、</w:t>
            </w:r>
            <w:r>
              <w:t>6F_S3352_1</w:t>
            </w:r>
            <w:r>
              <w:rPr>
                <w:rFonts w:hint="eastAsia"/>
              </w:rPr>
              <w:t>、</w:t>
            </w:r>
            <w:r>
              <w:t>6F_s3352_2</w:t>
            </w:r>
            <w:r>
              <w:rPr>
                <w:rFonts w:hint="eastAsia"/>
              </w:rPr>
              <w:t>、</w:t>
            </w:r>
            <w:r>
              <w:t>6F_S3328_3</w:t>
            </w:r>
            <w:r>
              <w:rPr>
                <w:rFonts w:hint="eastAsia"/>
              </w:rPr>
              <w:t>、</w:t>
            </w:r>
            <w:r>
              <w:t>6F_S5700_4</w:t>
            </w:r>
            <w:r>
              <w:rPr>
                <w:rFonts w:hint="eastAsia"/>
              </w:rPr>
              <w:t>、</w:t>
            </w:r>
            <w:r>
              <w:t>7F_S3352_1</w:t>
            </w:r>
            <w:r>
              <w:rPr>
                <w:rFonts w:hint="eastAsia"/>
              </w:rPr>
              <w:t>、</w:t>
            </w:r>
            <w:r>
              <w:t>7F_S3352_2</w:t>
            </w:r>
            <w:r>
              <w:rPr>
                <w:rFonts w:hint="eastAsia"/>
              </w:rPr>
              <w:t>、</w:t>
            </w:r>
            <w:r>
              <w:t>7F_S3328_3</w:t>
            </w:r>
            <w:r>
              <w:rPr>
                <w:rFonts w:hint="eastAsia"/>
              </w:rPr>
              <w:t>、</w:t>
            </w:r>
            <w:r>
              <w:t>8F_S3352_1</w:t>
            </w:r>
            <w:r>
              <w:rPr>
                <w:rFonts w:hint="eastAsia"/>
              </w:rPr>
              <w:t>、</w:t>
            </w:r>
            <w:r>
              <w:t>8F_S3328_2</w:t>
            </w:r>
            <w:r>
              <w:rPr>
                <w:rFonts w:hint="eastAsia"/>
              </w:rPr>
              <w:t>、</w:t>
            </w:r>
            <w:r>
              <w:t>9F_S3352_1</w:t>
            </w:r>
            <w:r>
              <w:rPr>
                <w:rFonts w:hint="eastAsia"/>
              </w:rPr>
              <w:t>、物流中心、</w:t>
            </w:r>
            <w:r>
              <w:t>DMZ-SW</w:t>
            </w:r>
            <w:r>
              <w:rPr>
                <w:rFonts w:hint="eastAsia"/>
              </w:rPr>
              <w:t>。</w:t>
            </w:r>
          </w:p>
        </w:tc>
      </w:tr>
      <w:tr w14:paraId="7726A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9" w:type="dxa"/>
            <w:noWrap w:val="0"/>
            <w:vAlign w:val="center"/>
          </w:tcPr>
          <w:p w14:paraId="4F6F0DE2"/>
        </w:tc>
        <w:tc>
          <w:tcPr>
            <w:tcW w:w="7793" w:type="dxa"/>
            <w:noWrap w:val="0"/>
            <w:vAlign w:val="center"/>
          </w:tcPr>
          <w:p w14:paraId="71337ADB">
            <w:r>
              <w:rPr>
                <w:rFonts w:hint="eastAsia"/>
              </w:rPr>
              <w:t>负载</w:t>
            </w:r>
          </w:p>
        </w:tc>
      </w:tr>
      <w:tr w14:paraId="3A0A98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9" w:type="dxa"/>
            <w:noWrap w:val="0"/>
            <w:vAlign w:val="center"/>
          </w:tcPr>
          <w:p w14:paraId="499185FE"/>
        </w:tc>
        <w:tc>
          <w:tcPr>
            <w:tcW w:w="7793" w:type="dxa"/>
            <w:noWrap w:val="0"/>
            <w:vAlign w:val="center"/>
          </w:tcPr>
          <w:p w14:paraId="002C7602">
            <w:r>
              <w:rPr>
                <w:rFonts w:hint="eastAsia"/>
              </w:rPr>
              <w:t>负载</w:t>
            </w:r>
          </w:p>
        </w:tc>
      </w:tr>
      <w:tr w14:paraId="2E2AAC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9" w:type="dxa"/>
            <w:noWrap w:val="0"/>
            <w:vAlign w:val="center"/>
          </w:tcPr>
          <w:p w14:paraId="3A793F19"/>
        </w:tc>
        <w:tc>
          <w:tcPr>
            <w:tcW w:w="7793" w:type="dxa"/>
            <w:noWrap w:val="0"/>
            <w:vAlign w:val="center"/>
          </w:tcPr>
          <w:p w14:paraId="31E43B98">
            <w:r>
              <w:rPr>
                <w:rFonts w:hint="eastAsia"/>
              </w:rPr>
              <w:t>负载</w:t>
            </w:r>
          </w:p>
        </w:tc>
      </w:tr>
      <w:tr w14:paraId="034BBF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9" w:type="dxa"/>
            <w:noWrap w:val="0"/>
            <w:vAlign w:val="center"/>
          </w:tcPr>
          <w:p w14:paraId="07E20DD9"/>
        </w:tc>
        <w:tc>
          <w:tcPr>
            <w:tcW w:w="7793" w:type="dxa"/>
            <w:noWrap w:val="0"/>
            <w:vAlign w:val="center"/>
          </w:tcPr>
          <w:p w14:paraId="31DEDA99">
            <w:r>
              <w:rPr>
                <w:rFonts w:hint="eastAsia"/>
              </w:rPr>
              <w:t>负载</w:t>
            </w:r>
          </w:p>
        </w:tc>
      </w:tr>
      <w:tr w14:paraId="7F8D88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9" w:type="dxa"/>
            <w:noWrap w:val="0"/>
            <w:vAlign w:val="center"/>
          </w:tcPr>
          <w:p w14:paraId="4047C203"/>
        </w:tc>
        <w:tc>
          <w:tcPr>
            <w:tcW w:w="7793" w:type="dxa"/>
            <w:noWrap w:val="0"/>
            <w:vAlign w:val="center"/>
          </w:tcPr>
          <w:p w14:paraId="6E796D52">
            <w:r>
              <w:rPr>
                <w:rFonts w:hint="eastAsia"/>
              </w:rPr>
              <w:t>负载</w:t>
            </w:r>
          </w:p>
        </w:tc>
      </w:tr>
      <w:tr w14:paraId="793FDB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9" w:type="dxa"/>
            <w:noWrap w:val="0"/>
            <w:vAlign w:val="center"/>
          </w:tcPr>
          <w:p w14:paraId="1EB7DB7A"/>
        </w:tc>
        <w:tc>
          <w:tcPr>
            <w:tcW w:w="7793" w:type="dxa"/>
            <w:noWrap w:val="0"/>
            <w:vAlign w:val="center"/>
          </w:tcPr>
          <w:p w14:paraId="58BAF413">
            <w:r>
              <w:rPr>
                <w:rFonts w:hint="eastAsia"/>
              </w:rPr>
              <w:t>负载</w:t>
            </w:r>
          </w:p>
        </w:tc>
      </w:tr>
      <w:tr w14:paraId="0A2DB6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9" w:type="dxa"/>
            <w:noWrap w:val="0"/>
            <w:vAlign w:val="center"/>
          </w:tcPr>
          <w:p w14:paraId="69F28F94"/>
        </w:tc>
        <w:tc>
          <w:tcPr>
            <w:tcW w:w="7793" w:type="dxa"/>
            <w:noWrap w:val="0"/>
            <w:vAlign w:val="center"/>
          </w:tcPr>
          <w:p w14:paraId="7C2172DC">
            <w:r>
              <w:rPr>
                <w:rFonts w:hint="eastAsia"/>
              </w:rPr>
              <w:t>负载</w:t>
            </w:r>
          </w:p>
        </w:tc>
      </w:tr>
      <w:tr w14:paraId="5BF652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9" w:type="dxa"/>
            <w:noWrap w:val="0"/>
            <w:vAlign w:val="center"/>
          </w:tcPr>
          <w:p w14:paraId="2B72C877"/>
        </w:tc>
        <w:tc>
          <w:tcPr>
            <w:tcW w:w="7793" w:type="dxa"/>
            <w:noWrap w:val="0"/>
            <w:vAlign w:val="center"/>
          </w:tcPr>
          <w:p w14:paraId="2B123C08">
            <w:r>
              <w:rPr>
                <w:rFonts w:hint="eastAsia"/>
              </w:rPr>
              <w:t>负载</w:t>
            </w:r>
          </w:p>
        </w:tc>
      </w:tr>
      <w:tr w14:paraId="37CF52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9" w:type="dxa"/>
            <w:noWrap w:val="0"/>
            <w:vAlign w:val="center"/>
          </w:tcPr>
          <w:p w14:paraId="7775ADE0"/>
        </w:tc>
        <w:tc>
          <w:tcPr>
            <w:tcW w:w="7793" w:type="dxa"/>
            <w:noWrap w:val="0"/>
            <w:vAlign w:val="center"/>
          </w:tcPr>
          <w:p w14:paraId="35F57FB6">
            <w:r>
              <w:rPr>
                <w:rFonts w:hint="eastAsia"/>
              </w:rPr>
              <w:t>负载</w:t>
            </w:r>
          </w:p>
        </w:tc>
      </w:tr>
      <w:tr w14:paraId="0BFF49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9" w:type="dxa"/>
            <w:noWrap w:val="0"/>
            <w:vAlign w:val="center"/>
          </w:tcPr>
          <w:p w14:paraId="48F512A2"/>
        </w:tc>
        <w:tc>
          <w:tcPr>
            <w:tcW w:w="7793" w:type="dxa"/>
            <w:noWrap w:val="0"/>
            <w:vAlign w:val="center"/>
          </w:tcPr>
          <w:p w14:paraId="45ECAE0E">
            <w:r>
              <w:rPr>
                <w:rFonts w:hint="eastAsia"/>
              </w:rPr>
              <w:t>负载</w:t>
            </w:r>
          </w:p>
        </w:tc>
      </w:tr>
    </w:tbl>
    <w:p w14:paraId="36D2FEF0"/>
    <w:p w14:paraId="0471DC67">
      <w:pPr>
        <w:pStyle w:val="3"/>
      </w:pPr>
      <w:r>
        <w:rPr>
          <w:rFonts w:hint="eastAsia"/>
        </w:rPr>
        <w:t>需求调研与分析</w:t>
      </w:r>
    </w:p>
    <w:p w14:paraId="6624AB1B">
      <w:pPr>
        <w:spacing w:line="360" w:lineRule="auto"/>
        <w:ind w:firstLine="480" w:firstLineChars="200"/>
        <w:rPr>
          <w:rFonts w:hint="eastAsia" w:ascii="宋体" w:hAnsi="宋体" w:cs="宋体"/>
          <w:sz w:val="24"/>
          <w:szCs w:val="32"/>
        </w:rPr>
      </w:pPr>
      <w:r>
        <w:rPr>
          <w:rFonts w:hint="eastAsia" w:ascii="宋体" w:hAnsi="宋体" w:cs="宋体"/>
          <w:sz w:val="24"/>
          <w:szCs w:val="32"/>
        </w:rPr>
        <w:t>与客户进行深入沟通，详细了解数据中心的现有网络架构、业务系统布局、安全策略要求以及已部署安全设备的情况，包括设备品牌、型号、配置信息和运行状态等。</w:t>
      </w:r>
    </w:p>
    <w:p w14:paraId="0CC237E3">
      <w:pPr>
        <w:spacing w:line="360" w:lineRule="auto"/>
        <w:ind w:firstLine="480" w:firstLineChars="200"/>
        <w:rPr>
          <w:rFonts w:hint="eastAsia" w:ascii="宋体" w:hAnsi="宋体" w:cs="宋体"/>
          <w:sz w:val="24"/>
          <w:szCs w:val="32"/>
        </w:rPr>
      </w:pPr>
      <w:r>
        <w:rPr>
          <w:rFonts w:hint="eastAsia" w:ascii="宋体" w:hAnsi="宋体" w:cs="宋体"/>
          <w:sz w:val="24"/>
          <w:szCs w:val="32"/>
        </w:rPr>
        <w:t>对收集到的信息进行全面分析，评估设备对接及调试的可行性和潜在风险，确定项目的技术难点和重点关注领域，为后续制定详细的技术方案提供依据。</w:t>
      </w:r>
    </w:p>
    <w:p w14:paraId="5EDA8AF6">
      <w:pPr>
        <w:pStyle w:val="3"/>
      </w:pPr>
      <w:r>
        <w:rPr>
          <w:rFonts w:hint="eastAsia"/>
        </w:rPr>
        <w:t>技术方案设计</w:t>
      </w:r>
    </w:p>
    <w:p w14:paraId="5AB8BB78">
      <w:pPr>
        <w:spacing w:line="360" w:lineRule="auto"/>
        <w:ind w:firstLine="480" w:firstLineChars="200"/>
        <w:rPr>
          <w:rFonts w:hint="eastAsia" w:ascii="宋体" w:hAnsi="宋体" w:cs="宋体"/>
          <w:sz w:val="24"/>
          <w:szCs w:val="32"/>
        </w:rPr>
      </w:pPr>
      <w:r>
        <w:rPr>
          <w:rFonts w:hint="eastAsia" w:ascii="宋体" w:hAnsi="宋体" w:cs="宋体"/>
          <w:sz w:val="24"/>
          <w:szCs w:val="32"/>
        </w:rPr>
        <w:t>根据需求调研结果，设计针对性的设备对接及调试技术方案，包括设备选型与配置建议（如防火墙策略配置、防病毒软件部署方案等）、网络拓扑调整计划、数据交互与同步机制设计、安全功能联动策略制定等。</w:t>
      </w:r>
    </w:p>
    <w:p w14:paraId="15D449A4">
      <w:pPr>
        <w:spacing w:line="360" w:lineRule="auto"/>
        <w:ind w:firstLine="480" w:firstLineChars="200"/>
        <w:rPr>
          <w:rFonts w:hint="eastAsia" w:ascii="宋体" w:hAnsi="宋体" w:cs="宋体"/>
          <w:sz w:val="24"/>
          <w:szCs w:val="32"/>
        </w:rPr>
      </w:pPr>
      <w:r>
        <w:rPr>
          <w:rFonts w:hint="eastAsia" w:ascii="宋体" w:hAnsi="宋体" w:cs="宋体"/>
          <w:sz w:val="24"/>
          <w:szCs w:val="32"/>
        </w:rPr>
        <w:t>明确测试计划和验收标准，测试计划应涵盖功能测试、性能测试、稳定性测试、兼容性测试等方面，确保设备对接后各项功能正常、性能满足业务需求、系统稳定可靠且与现有环境兼容良好；验收标准应具体、可量化，明确规定各项测试指标的合格范围。</w:t>
      </w:r>
    </w:p>
    <w:p w14:paraId="7FE2FEC9">
      <w:pPr>
        <w:pStyle w:val="3"/>
      </w:pPr>
      <w:r>
        <w:rPr>
          <w:rFonts w:hint="eastAsia"/>
        </w:rPr>
        <w:t>设备安装与初始化配置</w:t>
      </w:r>
    </w:p>
    <w:p w14:paraId="5C7EBD6C">
      <w:pPr>
        <w:spacing w:line="360" w:lineRule="auto"/>
        <w:ind w:firstLine="480" w:firstLineChars="200"/>
        <w:rPr>
          <w:rFonts w:hint="eastAsia" w:ascii="宋体" w:hAnsi="宋体" w:cs="宋体"/>
          <w:sz w:val="24"/>
          <w:szCs w:val="32"/>
        </w:rPr>
      </w:pPr>
      <w:r>
        <w:rPr>
          <w:rFonts w:hint="eastAsia" w:ascii="宋体" w:hAnsi="宋体" w:cs="宋体"/>
          <w:sz w:val="24"/>
          <w:szCs w:val="32"/>
        </w:rPr>
        <w:t>协助客户进行防火墙、防病毒等安全设备的安装，确保设备安装位置合理、硬件连接稳固、电源供应正常，遵循设备厂商的安装规范和最佳实践。</w:t>
      </w:r>
    </w:p>
    <w:p w14:paraId="48364D71">
      <w:pPr>
        <w:spacing w:line="360" w:lineRule="auto"/>
        <w:ind w:firstLine="480" w:firstLineChars="200"/>
        <w:rPr>
          <w:rFonts w:hint="eastAsia" w:ascii="宋体" w:hAnsi="宋体" w:cs="宋体"/>
          <w:sz w:val="24"/>
          <w:szCs w:val="32"/>
        </w:rPr>
      </w:pPr>
      <w:r>
        <w:rPr>
          <w:rFonts w:hint="eastAsia" w:ascii="宋体" w:hAnsi="宋体" w:cs="宋体"/>
          <w:sz w:val="24"/>
          <w:szCs w:val="32"/>
        </w:rPr>
        <w:t>对安全设备进行初始化配置，包括设置设备名称、IP 地址、子网掩码、默认网关、管理员账号密码等基本参数，以及进行系统时间同步、日志存储位置设置等操作，为设备的后续对接调试工作做好准备。</w:t>
      </w:r>
    </w:p>
    <w:p w14:paraId="0BF73D4F">
      <w:pPr>
        <w:pStyle w:val="3"/>
      </w:pPr>
      <w:r>
        <w:rPr>
          <w:rFonts w:hint="eastAsia"/>
        </w:rPr>
        <w:t>网络连接与配置</w:t>
      </w:r>
    </w:p>
    <w:p w14:paraId="56094436">
      <w:pPr>
        <w:spacing w:line="360" w:lineRule="auto"/>
        <w:ind w:firstLine="480" w:firstLineChars="200"/>
        <w:rPr>
          <w:rFonts w:hint="eastAsia" w:ascii="宋体" w:hAnsi="宋体" w:cs="宋体"/>
          <w:sz w:val="24"/>
          <w:szCs w:val="32"/>
        </w:rPr>
      </w:pPr>
      <w:r>
        <w:rPr>
          <w:rFonts w:hint="eastAsia" w:ascii="宋体" w:hAnsi="宋体" w:cs="宋体"/>
          <w:sz w:val="24"/>
          <w:szCs w:val="32"/>
        </w:rPr>
        <w:t>根据数据中心网络拓扑结构，合理规划安全设备在网络中的接入位置，确保设备与服务器、终端等设备之间的网络连接稳定可靠。进行网络设备（如交换机、路由器）的配置，包括 VLAN 划分、端口配置、IP 地址分配、路由策略设置等，实现安全设备与网络环境的无缝集成。</w:t>
      </w:r>
    </w:p>
    <w:p w14:paraId="477E1420">
      <w:pPr>
        <w:spacing w:line="360" w:lineRule="auto"/>
        <w:ind w:firstLine="480" w:firstLineChars="200"/>
        <w:rPr>
          <w:rFonts w:hint="eastAsia" w:ascii="宋体" w:hAnsi="宋体" w:cs="宋体"/>
          <w:sz w:val="24"/>
          <w:szCs w:val="32"/>
        </w:rPr>
      </w:pPr>
      <w:r>
        <w:rPr>
          <w:rFonts w:hint="eastAsia" w:ascii="宋体" w:hAnsi="宋体" w:cs="宋体"/>
          <w:sz w:val="24"/>
          <w:szCs w:val="32"/>
        </w:rPr>
        <w:t>优化网络配置参数，如调整 MTU（最大传输单元）大小、缓冲区设置、QoS（Quality of Service）策略等，以提高网络性能和数据传输效率，确保安全设备在网络中的正常运行不受网络拥塞或延迟的影响。</w:t>
      </w:r>
    </w:p>
    <w:p w14:paraId="02CE6870">
      <w:pPr>
        <w:pStyle w:val="3"/>
      </w:pPr>
      <w:r>
        <w:rPr>
          <w:rFonts w:hint="eastAsia"/>
        </w:rPr>
        <w:t>设备间数据交互与联动调试</w:t>
      </w:r>
    </w:p>
    <w:p w14:paraId="1E54F917">
      <w:pPr>
        <w:spacing w:line="360" w:lineRule="auto"/>
        <w:ind w:firstLine="480" w:firstLineChars="200"/>
        <w:rPr>
          <w:rFonts w:hint="eastAsia" w:ascii="宋体" w:hAnsi="宋体" w:cs="宋体"/>
          <w:sz w:val="24"/>
          <w:szCs w:val="32"/>
        </w:rPr>
      </w:pPr>
      <w:r>
        <w:rPr>
          <w:rFonts w:hint="eastAsia" w:ascii="宋体" w:hAnsi="宋体" w:cs="宋体"/>
          <w:sz w:val="24"/>
          <w:szCs w:val="32"/>
        </w:rPr>
        <w:t>配置防火墙、防病毒等安全设备之间的数据交互接口和协议，确保设备能够准确采集和传输相关安全数据，如网络连接信息、访问日志、病毒事件信息等。实现数据的实时或定时同步，保证网络安全智慧指挥中心系统能够及时获取最新的安全信息。</w:t>
      </w:r>
    </w:p>
    <w:p w14:paraId="71B57311">
      <w:pPr>
        <w:spacing w:line="360" w:lineRule="auto"/>
        <w:ind w:firstLine="480" w:firstLineChars="200"/>
        <w:rPr>
          <w:rFonts w:hint="eastAsia" w:ascii="宋体" w:hAnsi="宋体" w:cs="宋体"/>
          <w:sz w:val="24"/>
          <w:szCs w:val="32"/>
        </w:rPr>
      </w:pPr>
      <w:r>
        <w:rPr>
          <w:rFonts w:hint="eastAsia" w:ascii="宋体" w:hAnsi="宋体" w:cs="宋体"/>
          <w:sz w:val="24"/>
          <w:szCs w:val="32"/>
        </w:rPr>
        <w:t>制定设备间的联动策略，根据安全事件的类型和严重程度，实现防火墙与防病毒设备之间的协同工作。例如，当防病毒设备检测到病毒爆发时，联动防火墙阻止感染源的网络访问；当防火墙发现异常流量时，通知防病毒设备加强对相关流量的扫描和检测。全面测试联动功能，模拟各种安全事件场景，验证联动的及时性和准确性。</w:t>
      </w:r>
    </w:p>
    <w:p w14:paraId="734E3CA7">
      <w:pPr>
        <w:pStyle w:val="3"/>
      </w:pPr>
      <w:r>
        <w:rPr>
          <w:rFonts w:hint="eastAsia"/>
        </w:rPr>
        <w:t>功能测试与验证</w:t>
      </w:r>
    </w:p>
    <w:p w14:paraId="7F911D6E">
      <w:pPr>
        <w:spacing w:line="360" w:lineRule="auto"/>
        <w:ind w:firstLine="480" w:firstLineChars="200"/>
        <w:rPr>
          <w:rFonts w:hint="eastAsia" w:ascii="宋体" w:hAnsi="宋体" w:cs="宋体"/>
          <w:sz w:val="24"/>
          <w:szCs w:val="32"/>
        </w:rPr>
      </w:pPr>
      <w:r>
        <w:rPr>
          <w:rFonts w:hint="eastAsia" w:ascii="宋体" w:hAnsi="宋体" w:cs="宋体"/>
          <w:sz w:val="24"/>
          <w:szCs w:val="32"/>
        </w:rPr>
        <w:t>按照测试计划，对设备对接后的各项功能进行全面测试。功能测试内容包括但不限于防火墙的访问控制功能（验证策略是否生效，是否能够正确阻止非法访问和允许合法访问）、NAT（网络地址转换）功能（测试地址转换的正确性和有效性）、VPN（虚拟专用网络）功能（测试隧道建立、数据加密传输、用户认证等功能）、防病毒设备的病毒检测与清除功能（使用已知病毒样本和模拟病毒感染场景，验证设备的检测和清除能力）、设备间联动功能（检查联动是否按策略执行，是否能有效应对安全事件）等。</w:t>
      </w:r>
    </w:p>
    <w:p w14:paraId="45500AD4">
      <w:pPr>
        <w:spacing w:line="360" w:lineRule="auto"/>
        <w:ind w:firstLine="480" w:firstLineChars="200"/>
        <w:rPr>
          <w:rFonts w:hint="eastAsia" w:ascii="宋体" w:hAnsi="宋体" w:cs="宋体"/>
          <w:sz w:val="24"/>
          <w:szCs w:val="32"/>
        </w:rPr>
      </w:pPr>
      <w:r>
        <w:rPr>
          <w:rFonts w:hint="eastAsia" w:ascii="宋体" w:hAnsi="宋体" w:cs="宋体"/>
          <w:sz w:val="24"/>
          <w:szCs w:val="32"/>
        </w:rPr>
        <w:t>对测试结果进行详细记录和分析，及时发现并解决功能缺陷或异常情况。对于发现的问题，进行分类整理，制定问题解决方案，并跟踪问题解决进度，确保所有问题得到妥善解决，设备功能完全符合项目要求。</w:t>
      </w:r>
    </w:p>
    <w:p w14:paraId="32BEFE8E">
      <w:pPr>
        <w:pStyle w:val="3"/>
      </w:pPr>
      <w:r>
        <w:rPr>
          <w:rFonts w:hint="eastAsia"/>
        </w:rPr>
        <w:t>性能测试与优化</w:t>
      </w:r>
    </w:p>
    <w:p w14:paraId="0E7503DE">
      <w:pPr>
        <w:spacing w:line="360" w:lineRule="auto"/>
        <w:ind w:firstLine="480" w:firstLineChars="200"/>
        <w:rPr>
          <w:rFonts w:hint="eastAsia" w:ascii="宋体" w:hAnsi="宋体" w:cs="宋体"/>
          <w:sz w:val="24"/>
          <w:szCs w:val="32"/>
        </w:rPr>
      </w:pPr>
      <w:r>
        <w:rPr>
          <w:rFonts w:hint="eastAsia" w:ascii="宋体" w:hAnsi="宋体" w:cs="宋体"/>
          <w:sz w:val="24"/>
          <w:szCs w:val="32"/>
        </w:rPr>
        <w:t>使用专业的性能测试工具，模拟实际业务场景下的网络流量和负载情况，对设备对接后的整体性能进行测试。性能测试指标包括防火墙的吞吐量（设备在单位时间内能够处理的数据量）、并发连接数（设备能够同时处理的网络连接数量）、延迟（数据从发送端到接收端所需的时间）、防病毒设备的扫描速度（单位时间内能够扫描的文件数量或数据量）、系统资源利用率（如 CPU 使用率、内存占用率等）等。</w:t>
      </w:r>
    </w:p>
    <w:p w14:paraId="5739F0CD">
      <w:pPr>
        <w:spacing w:line="360" w:lineRule="auto"/>
        <w:ind w:firstLine="480" w:firstLineChars="200"/>
        <w:rPr>
          <w:rFonts w:hint="eastAsia" w:ascii="宋体" w:hAnsi="宋体" w:cs="宋体"/>
          <w:sz w:val="24"/>
          <w:szCs w:val="32"/>
        </w:rPr>
      </w:pPr>
      <w:r>
        <w:rPr>
          <w:rFonts w:hint="eastAsia" w:ascii="宋体" w:hAnsi="宋体" w:cs="宋体"/>
          <w:sz w:val="24"/>
          <w:szCs w:val="32"/>
        </w:rPr>
        <w:t>根据性能测试结果，分析性能瓶颈所在，如设备硬件配置不足、软件配置不合理、网络带宽限制等。针对性能瓶颈问题，采取相应的优化措施，如升级设备硬件、调整设备配置参数（如缓冲区大小、连接超时时间等）、优化网络拓扑结构（增加网络带宽、优化路由策略等），提高设备对接后的整体性能，确保系统在高负载情况下仍能稳定运行，满足业务需求。</w:t>
      </w:r>
    </w:p>
    <w:p w14:paraId="29BE84DA">
      <w:pPr>
        <w:pStyle w:val="3"/>
      </w:pPr>
      <w:r>
        <w:rPr>
          <w:rFonts w:hint="eastAsia"/>
        </w:rPr>
        <w:t>稳定性测试与保障</w:t>
      </w:r>
    </w:p>
    <w:p w14:paraId="1E925BFC">
      <w:pPr>
        <w:spacing w:line="360" w:lineRule="auto"/>
        <w:ind w:firstLine="480" w:firstLineChars="200"/>
        <w:rPr>
          <w:rFonts w:hint="eastAsia" w:ascii="宋体" w:hAnsi="宋体" w:cs="宋体"/>
          <w:sz w:val="24"/>
          <w:szCs w:val="32"/>
        </w:rPr>
      </w:pPr>
      <w:r>
        <w:rPr>
          <w:rFonts w:hint="eastAsia" w:ascii="宋体" w:hAnsi="宋体" w:cs="宋体"/>
          <w:sz w:val="24"/>
          <w:szCs w:val="32"/>
        </w:rPr>
        <w:t>进行长时间的稳定性测试，模拟设备在持续运行状态下的各种情况，观察设备是否出现故障、性能是否下降、数据是否丢失等问题。稳定性测试时间应根据项目实际需求确定，一般不少于 72 小时。</w:t>
      </w:r>
    </w:p>
    <w:p w14:paraId="5D336688">
      <w:pPr>
        <w:spacing w:line="360" w:lineRule="auto"/>
        <w:ind w:firstLine="480" w:firstLineChars="200"/>
        <w:rPr>
          <w:rFonts w:hint="eastAsia" w:ascii="宋体" w:hAnsi="宋体" w:cs="宋体"/>
          <w:sz w:val="24"/>
          <w:szCs w:val="32"/>
        </w:rPr>
      </w:pPr>
      <w:r>
        <w:rPr>
          <w:rFonts w:hint="eastAsia" w:ascii="宋体" w:hAnsi="宋体" w:cs="宋体"/>
          <w:sz w:val="24"/>
          <w:szCs w:val="32"/>
        </w:rPr>
        <w:t>在稳定性测试过程中，实时监测设备的运行状态，记录设备的各项性能指标和日志信息。对出现的问题及时进行分析和处理，采取有效的措施保障设备的稳定性，如优化设备散热条件、调整系统资源分配、修复软件漏洞等。确保设备在长时间运行过程中能够稳定可靠地工作，为业务系统提供持续的安全防护。</w:t>
      </w:r>
    </w:p>
    <w:p w14:paraId="4B823B21">
      <w:pPr>
        <w:pStyle w:val="2"/>
        <w:spacing w:before="156" w:after="156"/>
      </w:pPr>
      <w:r>
        <w:rPr>
          <w:rFonts w:hint="eastAsia"/>
        </w:rPr>
        <w:t>附件4：软件测试</w:t>
      </w:r>
    </w:p>
    <w:p w14:paraId="0979E814">
      <w:pPr>
        <w:pStyle w:val="3"/>
      </w:pPr>
      <w:r>
        <w:rPr>
          <w:rFonts w:hint="eastAsia"/>
        </w:rPr>
        <w:t>测试及验证功能清单</w:t>
      </w:r>
    </w:p>
    <w:tbl>
      <w:tblPr>
        <w:tblStyle w:val="13"/>
        <w:tblpPr w:leftFromText="180" w:rightFromText="180" w:vertAnchor="text" w:horzAnchor="page" w:tblpX="1081" w:tblpY="307"/>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6"/>
        <w:gridCol w:w="1720"/>
        <w:gridCol w:w="7162"/>
      </w:tblGrid>
      <w:tr w14:paraId="621ED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shd w:val="clear" w:color="auto" w:fill="D8D8D8"/>
            <w:noWrap w:val="0"/>
            <w:vAlign w:val="center"/>
          </w:tcPr>
          <w:p w14:paraId="153C30CB">
            <w:pPr>
              <w:jc w:val="center"/>
              <w:rPr>
                <w:b/>
              </w:rPr>
            </w:pPr>
            <w:r>
              <w:rPr>
                <w:rFonts w:hint="eastAsia"/>
                <w:b/>
              </w:rPr>
              <w:t>序号</w:t>
            </w:r>
          </w:p>
        </w:tc>
        <w:tc>
          <w:tcPr>
            <w:tcW w:w="866" w:type="pct"/>
            <w:shd w:val="clear" w:color="auto" w:fill="D8D8D8"/>
            <w:noWrap w:val="0"/>
            <w:vAlign w:val="center"/>
          </w:tcPr>
          <w:p w14:paraId="62FC6FF4">
            <w:pPr>
              <w:jc w:val="center"/>
              <w:rPr>
                <w:b/>
              </w:rPr>
            </w:pPr>
            <w:r>
              <w:rPr>
                <w:rFonts w:hint="eastAsia"/>
                <w:b/>
              </w:rPr>
              <w:t>模块</w:t>
            </w:r>
          </w:p>
        </w:tc>
        <w:tc>
          <w:tcPr>
            <w:tcW w:w="3606" w:type="pct"/>
            <w:shd w:val="clear" w:color="auto" w:fill="D8D8D8"/>
            <w:noWrap w:val="0"/>
            <w:vAlign w:val="center"/>
          </w:tcPr>
          <w:p w14:paraId="0C39342B">
            <w:pPr>
              <w:jc w:val="center"/>
              <w:rPr>
                <w:b/>
              </w:rPr>
            </w:pPr>
            <w:r>
              <w:rPr>
                <w:rFonts w:hint="eastAsia"/>
                <w:b/>
              </w:rPr>
              <w:t>二级菜单</w:t>
            </w:r>
          </w:p>
        </w:tc>
      </w:tr>
      <w:tr w14:paraId="3CBD66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5B410EB8">
            <w:pPr>
              <w:numPr>
                <w:ilvl w:val="0"/>
                <w:numId w:val="9"/>
              </w:numPr>
              <w:jc w:val="center"/>
              <w:rPr>
                <w:bCs/>
              </w:rPr>
            </w:pPr>
          </w:p>
        </w:tc>
        <w:tc>
          <w:tcPr>
            <w:tcW w:w="866" w:type="pct"/>
            <w:noWrap w:val="0"/>
            <w:vAlign w:val="center"/>
          </w:tcPr>
          <w:p w14:paraId="1A899B09">
            <w:pPr>
              <w:jc w:val="center"/>
              <w:rPr>
                <w:bCs/>
              </w:rPr>
            </w:pPr>
            <w:r>
              <w:rPr>
                <w:rFonts w:hint="eastAsia"/>
                <w:bCs/>
              </w:rPr>
              <w:t>工作台</w:t>
            </w:r>
          </w:p>
        </w:tc>
        <w:tc>
          <w:tcPr>
            <w:tcW w:w="3606" w:type="pct"/>
            <w:noWrap w:val="0"/>
            <w:vAlign w:val="center"/>
          </w:tcPr>
          <w:p w14:paraId="77335CA9"/>
        </w:tc>
      </w:tr>
      <w:tr w14:paraId="2A9BD3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4531F59C">
            <w:pPr>
              <w:numPr>
                <w:ilvl w:val="0"/>
                <w:numId w:val="9"/>
              </w:numPr>
              <w:jc w:val="center"/>
              <w:rPr>
                <w:bCs/>
              </w:rPr>
            </w:pPr>
          </w:p>
        </w:tc>
        <w:tc>
          <w:tcPr>
            <w:tcW w:w="866" w:type="pct"/>
            <w:vMerge w:val="restart"/>
            <w:noWrap w:val="0"/>
            <w:vAlign w:val="center"/>
          </w:tcPr>
          <w:p w14:paraId="1F3F77EF">
            <w:pPr>
              <w:jc w:val="center"/>
              <w:rPr>
                <w:bCs/>
              </w:rPr>
            </w:pPr>
            <w:r>
              <w:rPr>
                <w:rFonts w:hint="eastAsia"/>
                <w:bCs/>
              </w:rPr>
              <w:t>智慧运维</w:t>
            </w:r>
          </w:p>
        </w:tc>
        <w:tc>
          <w:tcPr>
            <w:tcW w:w="3606" w:type="pct"/>
            <w:noWrap w:val="0"/>
            <w:vAlign w:val="center"/>
          </w:tcPr>
          <w:p w14:paraId="38073E62">
            <w:r>
              <w:rPr>
                <w:rFonts w:hint="eastAsia"/>
              </w:rPr>
              <w:t>运维计划</w:t>
            </w:r>
          </w:p>
        </w:tc>
      </w:tr>
      <w:tr w14:paraId="0D4798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1151F684">
            <w:pPr>
              <w:numPr>
                <w:ilvl w:val="0"/>
                <w:numId w:val="9"/>
              </w:numPr>
              <w:jc w:val="center"/>
              <w:rPr>
                <w:bCs/>
              </w:rPr>
            </w:pPr>
          </w:p>
        </w:tc>
        <w:tc>
          <w:tcPr>
            <w:tcW w:w="866" w:type="pct"/>
            <w:vMerge w:val="continue"/>
            <w:noWrap w:val="0"/>
            <w:vAlign w:val="center"/>
          </w:tcPr>
          <w:p w14:paraId="3DC33507">
            <w:pPr>
              <w:jc w:val="center"/>
              <w:rPr>
                <w:bCs/>
              </w:rPr>
            </w:pPr>
          </w:p>
        </w:tc>
        <w:tc>
          <w:tcPr>
            <w:tcW w:w="3606" w:type="pct"/>
            <w:noWrap w:val="0"/>
            <w:vAlign w:val="center"/>
          </w:tcPr>
          <w:p w14:paraId="17AB53FA">
            <w:r>
              <w:rPr>
                <w:rFonts w:hint="eastAsia"/>
              </w:rPr>
              <w:t>运维任务</w:t>
            </w:r>
          </w:p>
        </w:tc>
      </w:tr>
      <w:tr w14:paraId="3F0CEB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15191EAF">
            <w:pPr>
              <w:numPr>
                <w:ilvl w:val="0"/>
                <w:numId w:val="9"/>
              </w:numPr>
              <w:jc w:val="center"/>
              <w:rPr>
                <w:bCs/>
              </w:rPr>
            </w:pPr>
          </w:p>
        </w:tc>
        <w:tc>
          <w:tcPr>
            <w:tcW w:w="866" w:type="pct"/>
            <w:vMerge w:val="continue"/>
            <w:noWrap w:val="0"/>
            <w:vAlign w:val="center"/>
          </w:tcPr>
          <w:p w14:paraId="28D2E950">
            <w:pPr>
              <w:jc w:val="center"/>
              <w:rPr>
                <w:bCs/>
              </w:rPr>
            </w:pPr>
          </w:p>
        </w:tc>
        <w:tc>
          <w:tcPr>
            <w:tcW w:w="3606" w:type="pct"/>
            <w:noWrap w:val="0"/>
            <w:vAlign w:val="center"/>
          </w:tcPr>
          <w:p w14:paraId="10C1304C">
            <w:r>
              <w:rPr>
                <w:rFonts w:hint="eastAsia"/>
              </w:rPr>
              <w:t>场景管理</w:t>
            </w:r>
          </w:p>
        </w:tc>
      </w:tr>
      <w:tr w14:paraId="7A00F8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3CB09332">
            <w:pPr>
              <w:numPr>
                <w:ilvl w:val="0"/>
                <w:numId w:val="9"/>
              </w:numPr>
              <w:jc w:val="center"/>
              <w:rPr>
                <w:bCs/>
              </w:rPr>
            </w:pPr>
          </w:p>
        </w:tc>
        <w:tc>
          <w:tcPr>
            <w:tcW w:w="866" w:type="pct"/>
            <w:vMerge w:val="continue"/>
            <w:noWrap w:val="0"/>
            <w:vAlign w:val="center"/>
          </w:tcPr>
          <w:p w14:paraId="529F2FA2">
            <w:pPr>
              <w:jc w:val="center"/>
              <w:rPr>
                <w:bCs/>
              </w:rPr>
            </w:pPr>
          </w:p>
        </w:tc>
        <w:tc>
          <w:tcPr>
            <w:tcW w:w="3606" w:type="pct"/>
            <w:noWrap w:val="0"/>
            <w:vAlign w:val="center"/>
          </w:tcPr>
          <w:p w14:paraId="05F8E044">
            <w:r>
              <w:rPr>
                <w:rFonts w:hint="eastAsia"/>
              </w:rPr>
              <w:t>流程管理</w:t>
            </w:r>
          </w:p>
        </w:tc>
      </w:tr>
      <w:tr w14:paraId="45F29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47C95255">
            <w:pPr>
              <w:numPr>
                <w:ilvl w:val="0"/>
                <w:numId w:val="9"/>
              </w:numPr>
              <w:jc w:val="center"/>
              <w:rPr>
                <w:bCs/>
              </w:rPr>
            </w:pPr>
          </w:p>
        </w:tc>
        <w:tc>
          <w:tcPr>
            <w:tcW w:w="866" w:type="pct"/>
            <w:vMerge w:val="continue"/>
            <w:noWrap w:val="0"/>
            <w:vAlign w:val="center"/>
          </w:tcPr>
          <w:p w14:paraId="57395214">
            <w:pPr>
              <w:jc w:val="center"/>
              <w:rPr>
                <w:bCs/>
              </w:rPr>
            </w:pPr>
          </w:p>
        </w:tc>
        <w:tc>
          <w:tcPr>
            <w:tcW w:w="3606" w:type="pct"/>
            <w:noWrap w:val="0"/>
            <w:vAlign w:val="center"/>
          </w:tcPr>
          <w:p w14:paraId="792A51FB">
            <w:r>
              <w:rPr>
                <w:rFonts w:hint="eastAsia"/>
              </w:rPr>
              <w:t>处置报告</w:t>
            </w:r>
          </w:p>
        </w:tc>
      </w:tr>
      <w:tr w14:paraId="19F5EC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211E6638">
            <w:pPr>
              <w:numPr>
                <w:ilvl w:val="0"/>
                <w:numId w:val="9"/>
              </w:numPr>
              <w:jc w:val="center"/>
              <w:rPr>
                <w:bCs/>
              </w:rPr>
            </w:pPr>
          </w:p>
        </w:tc>
        <w:tc>
          <w:tcPr>
            <w:tcW w:w="866" w:type="pct"/>
            <w:vMerge w:val="continue"/>
            <w:noWrap w:val="0"/>
            <w:vAlign w:val="center"/>
          </w:tcPr>
          <w:p w14:paraId="47367918">
            <w:pPr>
              <w:jc w:val="center"/>
              <w:rPr>
                <w:bCs/>
              </w:rPr>
            </w:pPr>
          </w:p>
        </w:tc>
        <w:tc>
          <w:tcPr>
            <w:tcW w:w="3606" w:type="pct"/>
            <w:noWrap w:val="0"/>
            <w:vAlign w:val="center"/>
          </w:tcPr>
          <w:p w14:paraId="6937BD49">
            <w:r>
              <w:rPr>
                <w:rFonts w:hint="eastAsia"/>
              </w:rPr>
              <w:t>任务下派</w:t>
            </w:r>
          </w:p>
        </w:tc>
      </w:tr>
      <w:tr w14:paraId="61247A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6D9B2905">
            <w:pPr>
              <w:numPr>
                <w:ilvl w:val="0"/>
                <w:numId w:val="9"/>
              </w:numPr>
              <w:jc w:val="center"/>
              <w:rPr>
                <w:bCs/>
              </w:rPr>
            </w:pPr>
          </w:p>
        </w:tc>
        <w:tc>
          <w:tcPr>
            <w:tcW w:w="866" w:type="pct"/>
            <w:vMerge w:val="restart"/>
            <w:noWrap w:val="0"/>
            <w:vAlign w:val="center"/>
          </w:tcPr>
          <w:p w14:paraId="04F40973">
            <w:pPr>
              <w:jc w:val="center"/>
              <w:rPr>
                <w:bCs/>
              </w:rPr>
            </w:pPr>
            <w:r>
              <w:rPr>
                <w:rFonts w:hint="eastAsia"/>
                <w:bCs/>
              </w:rPr>
              <w:t>场景市场</w:t>
            </w:r>
          </w:p>
        </w:tc>
        <w:tc>
          <w:tcPr>
            <w:tcW w:w="3606" w:type="pct"/>
            <w:noWrap w:val="0"/>
            <w:vAlign w:val="center"/>
          </w:tcPr>
          <w:p w14:paraId="10528656">
            <w:r>
              <w:rPr>
                <w:rFonts w:hint="eastAsia"/>
              </w:rPr>
              <w:t>新建模板</w:t>
            </w:r>
          </w:p>
        </w:tc>
      </w:tr>
      <w:tr w14:paraId="5DEBB6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3588831C">
            <w:pPr>
              <w:numPr>
                <w:ilvl w:val="0"/>
                <w:numId w:val="9"/>
              </w:numPr>
              <w:jc w:val="center"/>
              <w:rPr>
                <w:bCs/>
              </w:rPr>
            </w:pPr>
          </w:p>
        </w:tc>
        <w:tc>
          <w:tcPr>
            <w:tcW w:w="866" w:type="pct"/>
            <w:vMerge w:val="continue"/>
            <w:noWrap w:val="0"/>
            <w:vAlign w:val="center"/>
          </w:tcPr>
          <w:p w14:paraId="0A6155C1">
            <w:pPr>
              <w:jc w:val="center"/>
              <w:rPr>
                <w:bCs/>
              </w:rPr>
            </w:pPr>
          </w:p>
        </w:tc>
        <w:tc>
          <w:tcPr>
            <w:tcW w:w="3606" w:type="pct"/>
            <w:noWrap w:val="0"/>
            <w:vAlign w:val="center"/>
          </w:tcPr>
          <w:p w14:paraId="5CBBDB3A">
            <w:r>
              <w:rPr>
                <w:rFonts w:hint="eastAsia"/>
              </w:rPr>
              <w:t>模板管理</w:t>
            </w:r>
          </w:p>
        </w:tc>
      </w:tr>
      <w:tr w14:paraId="067E89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3A75C4E9">
            <w:pPr>
              <w:numPr>
                <w:ilvl w:val="0"/>
                <w:numId w:val="9"/>
              </w:numPr>
              <w:jc w:val="center"/>
              <w:rPr>
                <w:bCs/>
              </w:rPr>
            </w:pPr>
          </w:p>
        </w:tc>
        <w:tc>
          <w:tcPr>
            <w:tcW w:w="866" w:type="pct"/>
            <w:vMerge w:val="restart"/>
            <w:noWrap w:val="0"/>
            <w:vAlign w:val="center"/>
          </w:tcPr>
          <w:p w14:paraId="7429656E">
            <w:pPr>
              <w:jc w:val="center"/>
              <w:rPr>
                <w:bCs/>
              </w:rPr>
            </w:pPr>
            <w:r>
              <w:rPr>
                <w:rFonts w:hint="eastAsia"/>
                <w:bCs/>
              </w:rPr>
              <w:t>智慧展示</w:t>
            </w:r>
          </w:p>
        </w:tc>
        <w:tc>
          <w:tcPr>
            <w:tcW w:w="3606" w:type="pct"/>
            <w:noWrap w:val="0"/>
            <w:vAlign w:val="top"/>
          </w:tcPr>
          <w:p w14:paraId="548AB85B">
            <w:r>
              <w:t>指挥中心大屏</w:t>
            </w:r>
          </w:p>
        </w:tc>
      </w:tr>
      <w:tr w14:paraId="0139D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0933BBA2">
            <w:pPr>
              <w:numPr>
                <w:ilvl w:val="0"/>
                <w:numId w:val="9"/>
              </w:numPr>
              <w:jc w:val="center"/>
              <w:rPr>
                <w:bCs/>
              </w:rPr>
            </w:pPr>
          </w:p>
        </w:tc>
        <w:tc>
          <w:tcPr>
            <w:tcW w:w="866" w:type="pct"/>
            <w:vMerge w:val="continue"/>
            <w:noWrap w:val="0"/>
            <w:vAlign w:val="center"/>
          </w:tcPr>
          <w:p w14:paraId="6568ADA9">
            <w:pPr>
              <w:jc w:val="center"/>
              <w:rPr>
                <w:bCs/>
              </w:rPr>
            </w:pPr>
          </w:p>
        </w:tc>
        <w:tc>
          <w:tcPr>
            <w:tcW w:w="3606" w:type="pct"/>
            <w:noWrap w:val="0"/>
            <w:vAlign w:val="top"/>
          </w:tcPr>
          <w:p w14:paraId="1D097E7A">
            <w:r>
              <w:rPr>
                <w:rFonts w:hint="eastAsia"/>
              </w:rPr>
              <w:t>机房动环监控大屏</w:t>
            </w:r>
          </w:p>
        </w:tc>
      </w:tr>
      <w:tr w14:paraId="504470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13211454">
            <w:pPr>
              <w:numPr>
                <w:ilvl w:val="0"/>
                <w:numId w:val="9"/>
              </w:numPr>
              <w:jc w:val="center"/>
              <w:rPr>
                <w:bCs/>
              </w:rPr>
            </w:pPr>
          </w:p>
        </w:tc>
        <w:tc>
          <w:tcPr>
            <w:tcW w:w="866" w:type="pct"/>
            <w:vMerge w:val="continue"/>
            <w:noWrap w:val="0"/>
            <w:vAlign w:val="center"/>
          </w:tcPr>
          <w:p w14:paraId="019B441F">
            <w:pPr>
              <w:jc w:val="center"/>
              <w:rPr>
                <w:bCs/>
              </w:rPr>
            </w:pPr>
          </w:p>
        </w:tc>
        <w:tc>
          <w:tcPr>
            <w:tcW w:w="3606" w:type="pct"/>
            <w:noWrap w:val="0"/>
            <w:vAlign w:val="top"/>
          </w:tcPr>
          <w:p w14:paraId="1BB02A10">
            <w:r>
              <w:rPr>
                <w:rFonts w:hint="eastAsia"/>
              </w:rPr>
              <w:t>全区大屏</w:t>
            </w:r>
          </w:p>
        </w:tc>
      </w:tr>
      <w:tr w14:paraId="5CCBFC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1E8255C2">
            <w:pPr>
              <w:numPr>
                <w:ilvl w:val="0"/>
                <w:numId w:val="9"/>
              </w:numPr>
              <w:jc w:val="center"/>
              <w:rPr>
                <w:bCs/>
              </w:rPr>
            </w:pPr>
          </w:p>
        </w:tc>
        <w:tc>
          <w:tcPr>
            <w:tcW w:w="866" w:type="pct"/>
            <w:vMerge w:val="continue"/>
            <w:noWrap w:val="0"/>
            <w:vAlign w:val="center"/>
          </w:tcPr>
          <w:p w14:paraId="4E96389C">
            <w:pPr>
              <w:jc w:val="center"/>
              <w:rPr>
                <w:bCs/>
              </w:rPr>
            </w:pPr>
          </w:p>
        </w:tc>
        <w:tc>
          <w:tcPr>
            <w:tcW w:w="3606" w:type="pct"/>
            <w:noWrap w:val="0"/>
            <w:vAlign w:val="top"/>
          </w:tcPr>
          <w:p w14:paraId="553FB147">
            <w:r>
              <w:rPr>
                <w:rFonts w:hint="eastAsia"/>
              </w:rPr>
              <w:t>重保大屏</w:t>
            </w:r>
          </w:p>
        </w:tc>
      </w:tr>
      <w:tr w14:paraId="3A414C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1C448487">
            <w:pPr>
              <w:numPr>
                <w:ilvl w:val="0"/>
                <w:numId w:val="9"/>
              </w:numPr>
              <w:jc w:val="center"/>
              <w:rPr>
                <w:bCs/>
              </w:rPr>
            </w:pPr>
          </w:p>
        </w:tc>
        <w:tc>
          <w:tcPr>
            <w:tcW w:w="866" w:type="pct"/>
            <w:vMerge w:val="restart"/>
            <w:noWrap w:val="0"/>
            <w:vAlign w:val="center"/>
          </w:tcPr>
          <w:p w14:paraId="42032C01">
            <w:pPr>
              <w:jc w:val="center"/>
              <w:rPr>
                <w:bCs/>
              </w:rPr>
            </w:pPr>
            <w:r>
              <w:rPr>
                <w:rFonts w:hint="eastAsia"/>
                <w:bCs/>
              </w:rPr>
              <w:t>数据分析</w:t>
            </w:r>
          </w:p>
        </w:tc>
        <w:tc>
          <w:tcPr>
            <w:tcW w:w="3606" w:type="pct"/>
            <w:noWrap w:val="0"/>
            <w:vAlign w:val="top"/>
          </w:tcPr>
          <w:p w14:paraId="592756F0">
            <w:r>
              <w:rPr>
                <w:rFonts w:hint="eastAsia"/>
              </w:rPr>
              <w:t>态势感知</w:t>
            </w:r>
          </w:p>
        </w:tc>
      </w:tr>
      <w:tr w14:paraId="069DEF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3AEE155A">
            <w:pPr>
              <w:numPr>
                <w:ilvl w:val="0"/>
                <w:numId w:val="9"/>
              </w:numPr>
              <w:jc w:val="center"/>
              <w:rPr>
                <w:bCs/>
              </w:rPr>
            </w:pPr>
          </w:p>
        </w:tc>
        <w:tc>
          <w:tcPr>
            <w:tcW w:w="866" w:type="pct"/>
            <w:vMerge w:val="continue"/>
            <w:noWrap w:val="0"/>
            <w:vAlign w:val="center"/>
          </w:tcPr>
          <w:p w14:paraId="1D751D58">
            <w:pPr>
              <w:jc w:val="center"/>
              <w:rPr>
                <w:bCs/>
              </w:rPr>
            </w:pPr>
          </w:p>
        </w:tc>
        <w:tc>
          <w:tcPr>
            <w:tcW w:w="3606" w:type="pct"/>
            <w:noWrap w:val="0"/>
            <w:vAlign w:val="top"/>
          </w:tcPr>
          <w:p w14:paraId="1209C545">
            <w:r>
              <w:rPr>
                <w:rFonts w:hint="eastAsia"/>
              </w:rPr>
              <w:t>网络病毒</w:t>
            </w:r>
          </w:p>
        </w:tc>
      </w:tr>
      <w:tr w14:paraId="101C00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6DC7DF7F">
            <w:pPr>
              <w:numPr>
                <w:ilvl w:val="0"/>
                <w:numId w:val="9"/>
              </w:numPr>
              <w:jc w:val="center"/>
              <w:rPr>
                <w:bCs/>
              </w:rPr>
            </w:pPr>
          </w:p>
        </w:tc>
        <w:tc>
          <w:tcPr>
            <w:tcW w:w="866" w:type="pct"/>
            <w:vMerge w:val="continue"/>
            <w:noWrap w:val="0"/>
            <w:vAlign w:val="center"/>
          </w:tcPr>
          <w:p w14:paraId="4AC93FF6">
            <w:pPr>
              <w:jc w:val="center"/>
              <w:rPr>
                <w:bCs/>
              </w:rPr>
            </w:pPr>
          </w:p>
        </w:tc>
        <w:tc>
          <w:tcPr>
            <w:tcW w:w="3606" w:type="pct"/>
            <w:noWrap w:val="0"/>
            <w:vAlign w:val="top"/>
          </w:tcPr>
          <w:p w14:paraId="0201FC89">
            <w:r>
              <w:rPr>
                <w:rFonts w:hint="eastAsia"/>
              </w:rPr>
              <w:t>告警中心</w:t>
            </w:r>
          </w:p>
        </w:tc>
      </w:tr>
      <w:tr w14:paraId="4153D8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1E187557">
            <w:pPr>
              <w:numPr>
                <w:ilvl w:val="0"/>
                <w:numId w:val="9"/>
              </w:numPr>
              <w:jc w:val="center"/>
              <w:rPr>
                <w:bCs/>
              </w:rPr>
            </w:pPr>
          </w:p>
        </w:tc>
        <w:tc>
          <w:tcPr>
            <w:tcW w:w="866" w:type="pct"/>
            <w:vMerge w:val="continue"/>
            <w:noWrap w:val="0"/>
            <w:vAlign w:val="center"/>
          </w:tcPr>
          <w:p w14:paraId="2454F283">
            <w:pPr>
              <w:jc w:val="center"/>
              <w:rPr>
                <w:bCs/>
              </w:rPr>
            </w:pPr>
          </w:p>
        </w:tc>
        <w:tc>
          <w:tcPr>
            <w:tcW w:w="3606" w:type="pct"/>
            <w:noWrap w:val="0"/>
            <w:vAlign w:val="top"/>
          </w:tcPr>
          <w:p w14:paraId="43BA0A16">
            <w:r>
              <w:rPr>
                <w:rFonts w:hint="eastAsia"/>
              </w:rPr>
              <w:t>护网分析</w:t>
            </w:r>
          </w:p>
        </w:tc>
      </w:tr>
      <w:tr w14:paraId="2FB51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67FF3509">
            <w:pPr>
              <w:numPr>
                <w:ilvl w:val="0"/>
                <w:numId w:val="9"/>
              </w:numPr>
              <w:jc w:val="center"/>
              <w:rPr>
                <w:bCs/>
              </w:rPr>
            </w:pPr>
          </w:p>
        </w:tc>
        <w:tc>
          <w:tcPr>
            <w:tcW w:w="866" w:type="pct"/>
            <w:vMerge w:val="continue"/>
            <w:noWrap w:val="0"/>
            <w:vAlign w:val="center"/>
          </w:tcPr>
          <w:p w14:paraId="35E43A1C">
            <w:pPr>
              <w:jc w:val="center"/>
              <w:rPr>
                <w:bCs/>
              </w:rPr>
            </w:pPr>
          </w:p>
        </w:tc>
        <w:tc>
          <w:tcPr>
            <w:tcW w:w="3606" w:type="pct"/>
            <w:noWrap w:val="0"/>
            <w:vAlign w:val="top"/>
          </w:tcPr>
          <w:p w14:paraId="403FC94D">
            <w:r>
              <w:rPr>
                <w:rFonts w:hint="eastAsia"/>
              </w:rPr>
              <w:t>告警处置</w:t>
            </w:r>
          </w:p>
        </w:tc>
      </w:tr>
      <w:tr w14:paraId="1B8462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0FA1860D">
            <w:pPr>
              <w:numPr>
                <w:ilvl w:val="0"/>
                <w:numId w:val="9"/>
              </w:numPr>
              <w:jc w:val="center"/>
              <w:rPr>
                <w:bCs/>
              </w:rPr>
            </w:pPr>
          </w:p>
        </w:tc>
        <w:tc>
          <w:tcPr>
            <w:tcW w:w="866" w:type="pct"/>
            <w:vMerge w:val="restart"/>
            <w:noWrap w:val="0"/>
            <w:vAlign w:val="center"/>
          </w:tcPr>
          <w:p w14:paraId="1F496E5A">
            <w:pPr>
              <w:jc w:val="center"/>
              <w:rPr>
                <w:bCs/>
              </w:rPr>
            </w:pPr>
            <w:r>
              <w:rPr>
                <w:rFonts w:hint="eastAsia"/>
                <w:bCs/>
              </w:rPr>
              <w:t>工单管理</w:t>
            </w:r>
          </w:p>
        </w:tc>
        <w:tc>
          <w:tcPr>
            <w:tcW w:w="3606" w:type="pct"/>
            <w:noWrap w:val="0"/>
            <w:vAlign w:val="top"/>
          </w:tcPr>
          <w:p w14:paraId="34213EEF">
            <w:r>
              <w:rPr>
                <w:rFonts w:hint="eastAsia"/>
              </w:rPr>
              <w:t>提交工单</w:t>
            </w:r>
          </w:p>
        </w:tc>
      </w:tr>
      <w:tr w14:paraId="7E5665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2B1D4937">
            <w:pPr>
              <w:numPr>
                <w:ilvl w:val="0"/>
                <w:numId w:val="9"/>
              </w:numPr>
              <w:jc w:val="center"/>
              <w:rPr>
                <w:bCs/>
              </w:rPr>
            </w:pPr>
          </w:p>
        </w:tc>
        <w:tc>
          <w:tcPr>
            <w:tcW w:w="866" w:type="pct"/>
            <w:vMerge w:val="continue"/>
            <w:noWrap w:val="0"/>
            <w:vAlign w:val="center"/>
          </w:tcPr>
          <w:p w14:paraId="2DC1F2D1">
            <w:pPr>
              <w:jc w:val="center"/>
              <w:rPr>
                <w:bCs/>
              </w:rPr>
            </w:pPr>
          </w:p>
        </w:tc>
        <w:tc>
          <w:tcPr>
            <w:tcW w:w="3606" w:type="pct"/>
            <w:noWrap w:val="0"/>
            <w:vAlign w:val="center"/>
          </w:tcPr>
          <w:p w14:paraId="02FC04D0">
            <w:r>
              <w:rPr>
                <w:rFonts w:hint="eastAsia"/>
              </w:rPr>
              <w:t>审批中心</w:t>
            </w:r>
          </w:p>
        </w:tc>
      </w:tr>
      <w:tr w14:paraId="2F7680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15A2C8BE">
            <w:pPr>
              <w:numPr>
                <w:ilvl w:val="0"/>
                <w:numId w:val="9"/>
              </w:numPr>
              <w:jc w:val="center"/>
              <w:rPr>
                <w:bCs/>
              </w:rPr>
            </w:pPr>
          </w:p>
        </w:tc>
        <w:tc>
          <w:tcPr>
            <w:tcW w:w="866" w:type="pct"/>
            <w:vMerge w:val="continue"/>
            <w:noWrap w:val="0"/>
            <w:vAlign w:val="center"/>
          </w:tcPr>
          <w:p w14:paraId="6F65568F">
            <w:pPr>
              <w:jc w:val="center"/>
              <w:rPr>
                <w:bCs/>
              </w:rPr>
            </w:pPr>
          </w:p>
        </w:tc>
        <w:tc>
          <w:tcPr>
            <w:tcW w:w="3606" w:type="pct"/>
            <w:noWrap w:val="0"/>
            <w:vAlign w:val="center"/>
          </w:tcPr>
          <w:p w14:paraId="5DB76817">
            <w:r>
              <w:rPr>
                <w:rFonts w:hint="eastAsia"/>
              </w:rPr>
              <w:t>数据管理</w:t>
            </w:r>
          </w:p>
        </w:tc>
      </w:tr>
      <w:tr w14:paraId="7A0DC2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4EFAB80A">
            <w:pPr>
              <w:numPr>
                <w:ilvl w:val="0"/>
                <w:numId w:val="9"/>
              </w:numPr>
              <w:jc w:val="center"/>
              <w:rPr>
                <w:bCs/>
              </w:rPr>
            </w:pPr>
          </w:p>
        </w:tc>
        <w:tc>
          <w:tcPr>
            <w:tcW w:w="866" w:type="pct"/>
            <w:vMerge w:val="continue"/>
            <w:noWrap w:val="0"/>
            <w:vAlign w:val="center"/>
          </w:tcPr>
          <w:p w14:paraId="0A3B2FBE">
            <w:pPr>
              <w:jc w:val="center"/>
              <w:rPr>
                <w:bCs/>
              </w:rPr>
            </w:pPr>
          </w:p>
        </w:tc>
        <w:tc>
          <w:tcPr>
            <w:tcW w:w="3606" w:type="pct"/>
            <w:noWrap w:val="0"/>
            <w:vAlign w:val="center"/>
          </w:tcPr>
          <w:p w14:paraId="54B89A33">
            <w:r>
              <w:rPr>
                <w:rFonts w:hint="eastAsia"/>
              </w:rPr>
              <w:t>工单模板</w:t>
            </w:r>
          </w:p>
        </w:tc>
      </w:tr>
      <w:tr w14:paraId="7115CE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14721513">
            <w:pPr>
              <w:numPr>
                <w:ilvl w:val="0"/>
                <w:numId w:val="9"/>
              </w:numPr>
              <w:jc w:val="center"/>
              <w:rPr>
                <w:bCs/>
              </w:rPr>
            </w:pPr>
          </w:p>
        </w:tc>
        <w:tc>
          <w:tcPr>
            <w:tcW w:w="866" w:type="pct"/>
            <w:vMerge w:val="restart"/>
            <w:noWrap w:val="0"/>
            <w:vAlign w:val="center"/>
          </w:tcPr>
          <w:p w14:paraId="3EFA1195">
            <w:pPr>
              <w:jc w:val="center"/>
              <w:rPr>
                <w:bCs/>
              </w:rPr>
            </w:pPr>
            <w:r>
              <w:rPr>
                <w:rFonts w:hint="eastAsia"/>
                <w:bCs/>
              </w:rPr>
              <w:t>设备管理</w:t>
            </w:r>
          </w:p>
        </w:tc>
        <w:tc>
          <w:tcPr>
            <w:tcW w:w="3606" w:type="pct"/>
            <w:noWrap w:val="0"/>
            <w:vAlign w:val="center"/>
          </w:tcPr>
          <w:p w14:paraId="25864BE7">
            <w:r>
              <w:rPr>
                <w:rFonts w:hint="eastAsia"/>
              </w:rPr>
              <w:t>设备台账</w:t>
            </w:r>
          </w:p>
        </w:tc>
      </w:tr>
      <w:tr w14:paraId="33216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555BD54C">
            <w:pPr>
              <w:numPr>
                <w:ilvl w:val="0"/>
                <w:numId w:val="9"/>
              </w:numPr>
              <w:jc w:val="center"/>
              <w:rPr>
                <w:bCs/>
              </w:rPr>
            </w:pPr>
          </w:p>
        </w:tc>
        <w:tc>
          <w:tcPr>
            <w:tcW w:w="866" w:type="pct"/>
            <w:vMerge w:val="continue"/>
            <w:noWrap w:val="0"/>
            <w:vAlign w:val="center"/>
          </w:tcPr>
          <w:p w14:paraId="56315A1E">
            <w:pPr>
              <w:jc w:val="center"/>
              <w:rPr>
                <w:bCs/>
              </w:rPr>
            </w:pPr>
          </w:p>
        </w:tc>
        <w:tc>
          <w:tcPr>
            <w:tcW w:w="3606" w:type="pct"/>
            <w:noWrap w:val="0"/>
            <w:vAlign w:val="center"/>
          </w:tcPr>
          <w:p w14:paraId="68065776">
            <w:r>
              <w:rPr>
                <w:rFonts w:hint="eastAsia"/>
              </w:rPr>
              <w:t>配置管理</w:t>
            </w:r>
          </w:p>
        </w:tc>
      </w:tr>
      <w:tr w14:paraId="63255F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32ADE842">
            <w:pPr>
              <w:numPr>
                <w:ilvl w:val="0"/>
                <w:numId w:val="9"/>
              </w:numPr>
              <w:jc w:val="center"/>
              <w:rPr>
                <w:bCs/>
              </w:rPr>
            </w:pPr>
          </w:p>
        </w:tc>
        <w:tc>
          <w:tcPr>
            <w:tcW w:w="866" w:type="pct"/>
            <w:vMerge w:val="continue"/>
            <w:noWrap w:val="0"/>
            <w:vAlign w:val="center"/>
          </w:tcPr>
          <w:p w14:paraId="538F67EB">
            <w:pPr>
              <w:jc w:val="center"/>
              <w:rPr>
                <w:bCs/>
              </w:rPr>
            </w:pPr>
          </w:p>
        </w:tc>
        <w:tc>
          <w:tcPr>
            <w:tcW w:w="3606" w:type="pct"/>
            <w:noWrap w:val="0"/>
            <w:vAlign w:val="center"/>
          </w:tcPr>
          <w:p w14:paraId="67D63AAC">
            <w:r>
              <w:rPr>
                <w:rFonts w:hint="eastAsia"/>
              </w:rPr>
              <w:t>SNMP管理</w:t>
            </w:r>
          </w:p>
        </w:tc>
      </w:tr>
      <w:tr w14:paraId="54D152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4A14F72F">
            <w:pPr>
              <w:numPr>
                <w:ilvl w:val="0"/>
                <w:numId w:val="9"/>
              </w:numPr>
              <w:jc w:val="center"/>
              <w:rPr>
                <w:bCs/>
              </w:rPr>
            </w:pPr>
          </w:p>
        </w:tc>
        <w:tc>
          <w:tcPr>
            <w:tcW w:w="866" w:type="pct"/>
            <w:vMerge w:val="continue"/>
            <w:noWrap w:val="0"/>
            <w:vAlign w:val="center"/>
          </w:tcPr>
          <w:p w14:paraId="4EE30E7A">
            <w:pPr>
              <w:jc w:val="center"/>
              <w:rPr>
                <w:bCs/>
              </w:rPr>
            </w:pPr>
          </w:p>
        </w:tc>
        <w:tc>
          <w:tcPr>
            <w:tcW w:w="3606" w:type="pct"/>
            <w:noWrap w:val="0"/>
            <w:vAlign w:val="center"/>
          </w:tcPr>
          <w:p w14:paraId="05493D87">
            <w:r>
              <w:rPr>
                <w:rFonts w:hint="eastAsia"/>
              </w:rPr>
              <w:t>关联场景</w:t>
            </w:r>
          </w:p>
        </w:tc>
      </w:tr>
      <w:tr w14:paraId="5ACDB9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023BB267">
            <w:pPr>
              <w:numPr>
                <w:ilvl w:val="0"/>
                <w:numId w:val="9"/>
              </w:numPr>
              <w:jc w:val="center"/>
              <w:rPr>
                <w:bCs/>
              </w:rPr>
            </w:pPr>
          </w:p>
        </w:tc>
        <w:tc>
          <w:tcPr>
            <w:tcW w:w="866" w:type="pct"/>
            <w:vMerge w:val="restart"/>
            <w:noWrap w:val="0"/>
            <w:vAlign w:val="center"/>
          </w:tcPr>
          <w:p w14:paraId="35561D09">
            <w:pPr>
              <w:jc w:val="center"/>
              <w:rPr>
                <w:bCs/>
              </w:rPr>
            </w:pPr>
            <w:r>
              <w:rPr>
                <w:rFonts w:hint="eastAsia"/>
                <w:bCs/>
              </w:rPr>
              <w:t>智慧库</w:t>
            </w:r>
          </w:p>
        </w:tc>
        <w:tc>
          <w:tcPr>
            <w:tcW w:w="3606" w:type="pct"/>
            <w:noWrap w:val="0"/>
            <w:vAlign w:val="center"/>
          </w:tcPr>
          <w:p w14:paraId="21DFA12B">
            <w:r>
              <w:rPr>
                <w:rFonts w:hint="eastAsia"/>
              </w:rPr>
              <w:t>新建文档</w:t>
            </w:r>
          </w:p>
        </w:tc>
      </w:tr>
      <w:tr w14:paraId="23D27C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18102913">
            <w:pPr>
              <w:numPr>
                <w:ilvl w:val="0"/>
                <w:numId w:val="9"/>
              </w:numPr>
              <w:jc w:val="center"/>
              <w:rPr>
                <w:bCs/>
              </w:rPr>
            </w:pPr>
          </w:p>
        </w:tc>
        <w:tc>
          <w:tcPr>
            <w:tcW w:w="866" w:type="pct"/>
            <w:vMerge w:val="continue"/>
            <w:noWrap w:val="0"/>
            <w:vAlign w:val="center"/>
          </w:tcPr>
          <w:p w14:paraId="6A027593">
            <w:pPr>
              <w:jc w:val="center"/>
              <w:rPr>
                <w:bCs/>
              </w:rPr>
            </w:pPr>
          </w:p>
        </w:tc>
        <w:tc>
          <w:tcPr>
            <w:tcW w:w="3606" w:type="pct"/>
            <w:noWrap w:val="0"/>
            <w:vAlign w:val="center"/>
          </w:tcPr>
          <w:p w14:paraId="2C3E1D33">
            <w:r>
              <w:rPr>
                <w:rFonts w:hint="eastAsia"/>
              </w:rPr>
              <w:t>文档管理</w:t>
            </w:r>
          </w:p>
        </w:tc>
      </w:tr>
      <w:tr w14:paraId="53C971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2A04C805">
            <w:pPr>
              <w:numPr>
                <w:ilvl w:val="0"/>
                <w:numId w:val="9"/>
              </w:numPr>
              <w:jc w:val="center"/>
              <w:rPr>
                <w:bCs/>
              </w:rPr>
            </w:pPr>
          </w:p>
        </w:tc>
        <w:tc>
          <w:tcPr>
            <w:tcW w:w="866" w:type="pct"/>
            <w:vMerge w:val="continue"/>
            <w:noWrap w:val="0"/>
            <w:vAlign w:val="center"/>
          </w:tcPr>
          <w:p w14:paraId="3BAA936C">
            <w:pPr>
              <w:jc w:val="center"/>
              <w:rPr>
                <w:bCs/>
              </w:rPr>
            </w:pPr>
          </w:p>
        </w:tc>
        <w:tc>
          <w:tcPr>
            <w:tcW w:w="3606" w:type="pct"/>
            <w:noWrap w:val="0"/>
            <w:vAlign w:val="center"/>
          </w:tcPr>
          <w:p w14:paraId="1B8726B9">
            <w:r>
              <w:rPr>
                <w:rFonts w:hint="eastAsia"/>
              </w:rPr>
              <w:t>草稿箱</w:t>
            </w:r>
          </w:p>
        </w:tc>
      </w:tr>
      <w:tr w14:paraId="71F832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2D66B1AB">
            <w:pPr>
              <w:numPr>
                <w:ilvl w:val="0"/>
                <w:numId w:val="9"/>
              </w:numPr>
              <w:jc w:val="center"/>
              <w:rPr>
                <w:bCs/>
              </w:rPr>
            </w:pPr>
          </w:p>
        </w:tc>
        <w:tc>
          <w:tcPr>
            <w:tcW w:w="866" w:type="pct"/>
            <w:vMerge w:val="continue"/>
            <w:noWrap w:val="0"/>
            <w:vAlign w:val="center"/>
          </w:tcPr>
          <w:p w14:paraId="615922D5">
            <w:pPr>
              <w:jc w:val="center"/>
              <w:rPr>
                <w:bCs/>
              </w:rPr>
            </w:pPr>
          </w:p>
        </w:tc>
        <w:tc>
          <w:tcPr>
            <w:tcW w:w="3606" w:type="pct"/>
            <w:noWrap w:val="0"/>
            <w:vAlign w:val="center"/>
          </w:tcPr>
          <w:p w14:paraId="56D44F62">
            <w:r>
              <w:rPr>
                <w:rFonts w:hint="eastAsia"/>
              </w:rPr>
              <w:t>类型管理</w:t>
            </w:r>
          </w:p>
        </w:tc>
      </w:tr>
      <w:tr w14:paraId="3E06F0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69A13A0C">
            <w:pPr>
              <w:numPr>
                <w:ilvl w:val="0"/>
                <w:numId w:val="9"/>
              </w:numPr>
              <w:jc w:val="center"/>
              <w:rPr>
                <w:bCs/>
              </w:rPr>
            </w:pPr>
          </w:p>
        </w:tc>
        <w:tc>
          <w:tcPr>
            <w:tcW w:w="866" w:type="pct"/>
            <w:vMerge w:val="continue"/>
            <w:noWrap w:val="0"/>
            <w:vAlign w:val="center"/>
          </w:tcPr>
          <w:p w14:paraId="7A0AFE7C">
            <w:pPr>
              <w:jc w:val="center"/>
              <w:rPr>
                <w:bCs/>
              </w:rPr>
            </w:pPr>
          </w:p>
        </w:tc>
        <w:tc>
          <w:tcPr>
            <w:tcW w:w="3606" w:type="pct"/>
            <w:noWrap w:val="0"/>
            <w:vAlign w:val="center"/>
          </w:tcPr>
          <w:p w14:paraId="7BFC8BD5">
            <w:r>
              <w:rPr>
                <w:rFonts w:hint="eastAsia"/>
              </w:rPr>
              <w:t>安全报告</w:t>
            </w:r>
          </w:p>
        </w:tc>
      </w:tr>
      <w:tr w14:paraId="58D54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568248CA">
            <w:pPr>
              <w:numPr>
                <w:ilvl w:val="0"/>
                <w:numId w:val="9"/>
              </w:numPr>
              <w:jc w:val="center"/>
              <w:rPr>
                <w:bCs/>
              </w:rPr>
            </w:pPr>
          </w:p>
        </w:tc>
        <w:tc>
          <w:tcPr>
            <w:tcW w:w="866" w:type="pct"/>
            <w:vMerge w:val="restart"/>
            <w:noWrap w:val="0"/>
            <w:vAlign w:val="center"/>
          </w:tcPr>
          <w:p w14:paraId="4E2C413D">
            <w:pPr>
              <w:jc w:val="center"/>
              <w:rPr>
                <w:bCs/>
              </w:rPr>
            </w:pPr>
            <w:r>
              <w:rPr>
                <w:rFonts w:hint="eastAsia"/>
                <w:bCs/>
              </w:rPr>
              <w:t>人员管理</w:t>
            </w:r>
          </w:p>
        </w:tc>
        <w:tc>
          <w:tcPr>
            <w:tcW w:w="3606" w:type="pct"/>
            <w:noWrap w:val="0"/>
            <w:vAlign w:val="center"/>
          </w:tcPr>
          <w:p w14:paraId="2ECBDF85">
            <w:r>
              <w:rPr>
                <w:rFonts w:hint="eastAsia"/>
              </w:rPr>
              <w:t>用户管理</w:t>
            </w:r>
          </w:p>
        </w:tc>
      </w:tr>
      <w:tr w14:paraId="1F5D5F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147DEAA6">
            <w:pPr>
              <w:numPr>
                <w:ilvl w:val="0"/>
                <w:numId w:val="9"/>
              </w:numPr>
              <w:jc w:val="center"/>
              <w:rPr>
                <w:bCs/>
              </w:rPr>
            </w:pPr>
          </w:p>
        </w:tc>
        <w:tc>
          <w:tcPr>
            <w:tcW w:w="866" w:type="pct"/>
            <w:vMerge w:val="continue"/>
            <w:noWrap w:val="0"/>
            <w:vAlign w:val="center"/>
          </w:tcPr>
          <w:p w14:paraId="69F072BE">
            <w:pPr>
              <w:jc w:val="center"/>
              <w:rPr>
                <w:bCs/>
              </w:rPr>
            </w:pPr>
          </w:p>
        </w:tc>
        <w:tc>
          <w:tcPr>
            <w:tcW w:w="3606" w:type="pct"/>
            <w:noWrap w:val="0"/>
            <w:vAlign w:val="center"/>
          </w:tcPr>
          <w:p w14:paraId="14BFC502">
            <w:r>
              <w:rPr>
                <w:rFonts w:hint="eastAsia"/>
              </w:rPr>
              <w:t>角色管理</w:t>
            </w:r>
          </w:p>
        </w:tc>
      </w:tr>
      <w:tr w14:paraId="4B99AD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3FFDFF4E">
            <w:pPr>
              <w:numPr>
                <w:ilvl w:val="0"/>
                <w:numId w:val="9"/>
              </w:numPr>
              <w:jc w:val="center"/>
              <w:rPr>
                <w:bCs/>
              </w:rPr>
            </w:pPr>
          </w:p>
        </w:tc>
        <w:tc>
          <w:tcPr>
            <w:tcW w:w="866" w:type="pct"/>
            <w:vMerge w:val="continue"/>
            <w:noWrap w:val="0"/>
            <w:vAlign w:val="center"/>
          </w:tcPr>
          <w:p w14:paraId="0F3AC141">
            <w:pPr>
              <w:jc w:val="center"/>
              <w:rPr>
                <w:bCs/>
              </w:rPr>
            </w:pPr>
          </w:p>
        </w:tc>
        <w:tc>
          <w:tcPr>
            <w:tcW w:w="3606" w:type="pct"/>
            <w:noWrap w:val="0"/>
            <w:vAlign w:val="center"/>
          </w:tcPr>
          <w:p w14:paraId="233D2497">
            <w:r>
              <w:rPr>
                <w:rFonts w:hint="eastAsia"/>
              </w:rPr>
              <w:t>组织管理</w:t>
            </w:r>
          </w:p>
        </w:tc>
      </w:tr>
      <w:tr w14:paraId="291F3D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07A8F141">
            <w:pPr>
              <w:numPr>
                <w:ilvl w:val="0"/>
                <w:numId w:val="9"/>
              </w:numPr>
              <w:jc w:val="center"/>
              <w:rPr>
                <w:bCs/>
              </w:rPr>
            </w:pPr>
          </w:p>
        </w:tc>
        <w:tc>
          <w:tcPr>
            <w:tcW w:w="866" w:type="pct"/>
            <w:vMerge w:val="restart"/>
            <w:noWrap w:val="0"/>
            <w:vAlign w:val="center"/>
          </w:tcPr>
          <w:p w14:paraId="2D281AA2">
            <w:pPr>
              <w:jc w:val="center"/>
              <w:rPr>
                <w:bCs/>
              </w:rPr>
            </w:pPr>
            <w:r>
              <w:rPr>
                <w:rFonts w:hint="eastAsia"/>
                <w:bCs/>
              </w:rPr>
              <w:t>重保管理</w:t>
            </w:r>
          </w:p>
        </w:tc>
        <w:tc>
          <w:tcPr>
            <w:tcW w:w="3606" w:type="pct"/>
            <w:noWrap w:val="0"/>
            <w:vAlign w:val="center"/>
          </w:tcPr>
          <w:p w14:paraId="7C749382">
            <w:r>
              <w:rPr>
                <w:rFonts w:hint="eastAsia"/>
              </w:rPr>
              <w:t>重保大屏</w:t>
            </w:r>
          </w:p>
        </w:tc>
      </w:tr>
      <w:tr w14:paraId="02EBC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68076436">
            <w:pPr>
              <w:numPr>
                <w:ilvl w:val="0"/>
                <w:numId w:val="9"/>
              </w:numPr>
              <w:jc w:val="center"/>
              <w:rPr>
                <w:bCs/>
              </w:rPr>
            </w:pPr>
          </w:p>
        </w:tc>
        <w:tc>
          <w:tcPr>
            <w:tcW w:w="866" w:type="pct"/>
            <w:vMerge w:val="continue"/>
            <w:noWrap w:val="0"/>
            <w:vAlign w:val="center"/>
          </w:tcPr>
          <w:p w14:paraId="78A092EF">
            <w:pPr>
              <w:jc w:val="center"/>
              <w:rPr>
                <w:bCs/>
              </w:rPr>
            </w:pPr>
          </w:p>
        </w:tc>
        <w:tc>
          <w:tcPr>
            <w:tcW w:w="3606" w:type="pct"/>
            <w:noWrap w:val="0"/>
            <w:vAlign w:val="center"/>
          </w:tcPr>
          <w:p w14:paraId="01225B44">
            <w:r>
              <w:rPr>
                <w:rFonts w:hint="eastAsia"/>
              </w:rPr>
              <w:t>重保管理</w:t>
            </w:r>
          </w:p>
        </w:tc>
      </w:tr>
      <w:tr w14:paraId="30C589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5F256FDD">
            <w:pPr>
              <w:numPr>
                <w:ilvl w:val="0"/>
                <w:numId w:val="9"/>
              </w:numPr>
              <w:jc w:val="center"/>
              <w:rPr>
                <w:bCs/>
              </w:rPr>
            </w:pPr>
          </w:p>
        </w:tc>
        <w:tc>
          <w:tcPr>
            <w:tcW w:w="866" w:type="pct"/>
            <w:vMerge w:val="restart"/>
            <w:noWrap w:val="0"/>
            <w:vAlign w:val="center"/>
          </w:tcPr>
          <w:p w14:paraId="7FA762F3">
            <w:pPr>
              <w:jc w:val="center"/>
              <w:rPr>
                <w:bCs/>
              </w:rPr>
            </w:pPr>
            <w:r>
              <w:rPr>
                <w:rFonts w:hint="eastAsia"/>
                <w:bCs/>
              </w:rPr>
              <w:t>消息推送</w:t>
            </w:r>
          </w:p>
        </w:tc>
        <w:tc>
          <w:tcPr>
            <w:tcW w:w="3606" w:type="pct"/>
            <w:noWrap w:val="0"/>
            <w:vAlign w:val="center"/>
          </w:tcPr>
          <w:p w14:paraId="07C097CC">
            <w:r>
              <w:rPr>
                <w:rFonts w:hint="eastAsia"/>
              </w:rPr>
              <w:t>推送管理</w:t>
            </w:r>
          </w:p>
        </w:tc>
      </w:tr>
      <w:tr w14:paraId="26B91A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605061C4">
            <w:pPr>
              <w:numPr>
                <w:ilvl w:val="0"/>
                <w:numId w:val="9"/>
              </w:numPr>
              <w:jc w:val="center"/>
              <w:rPr>
                <w:bCs/>
              </w:rPr>
            </w:pPr>
          </w:p>
        </w:tc>
        <w:tc>
          <w:tcPr>
            <w:tcW w:w="866" w:type="pct"/>
            <w:vMerge w:val="continue"/>
            <w:noWrap w:val="0"/>
            <w:vAlign w:val="center"/>
          </w:tcPr>
          <w:p w14:paraId="276AF482">
            <w:pPr>
              <w:jc w:val="center"/>
              <w:rPr>
                <w:bCs/>
              </w:rPr>
            </w:pPr>
          </w:p>
        </w:tc>
        <w:tc>
          <w:tcPr>
            <w:tcW w:w="3606" w:type="pct"/>
            <w:noWrap w:val="0"/>
            <w:vAlign w:val="center"/>
          </w:tcPr>
          <w:p w14:paraId="6DFBBB13">
            <w:r>
              <w:rPr>
                <w:rFonts w:hint="eastAsia"/>
              </w:rPr>
              <w:t>渠道管理</w:t>
            </w:r>
          </w:p>
        </w:tc>
      </w:tr>
      <w:tr w14:paraId="1EB928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0F29F7E3">
            <w:pPr>
              <w:numPr>
                <w:ilvl w:val="0"/>
                <w:numId w:val="9"/>
              </w:numPr>
              <w:jc w:val="center"/>
              <w:rPr>
                <w:bCs/>
              </w:rPr>
            </w:pPr>
          </w:p>
        </w:tc>
        <w:tc>
          <w:tcPr>
            <w:tcW w:w="866" w:type="pct"/>
            <w:vMerge w:val="continue"/>
            <w:noWrap w:val="0"/>
            <w:vAlign w:val="center"/>
          </w:tcPr>
          <w:p w14:paraId="52AF16E8">
            <w:pPr>
              <w:jc w:val="center"/>
              <w:rPr>
                <w:bCs/>
              </w:rPr>
            </w:pPr>
          </w:p>
        </w:tc>
        <w:tc>
          <w:tcPr>
            <w:tcW w:w="3606" w:type="pct"/>
            <w:noWrap w:val="0"/>
            <w:vAlign w:val="center"/>
          </w:tcPr>
          <w:p w14:paraId="6C185754">
            <w:r>
              <w:rPr>
                <w:rFonts w:hint="eastAsia"/>
              </w:rPr>
              <w:t>推送记录</w:t>
            </w:r>
          </w:p>
        </w:tc>
      </w:tr>
      <w:tr w14:paraId="768FFC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6ECCBFDD">
            <w:pPr>
              <w:numPr>
                <w:ilvl w:val="0"/>
                <w:numId w:val="9"/>
              </w:numPr>
              <w:jc w:val="center"/>
              <w:rPr>
                <w:bCs/>
              </w:rPr>
            </w:pPr>
          </w:p>
        </w:tc>
        <w:tc>
          <w:tcPr>
            <w:tcW w:w="866" w:type="pct"/>
            <w:vMerge w:val="restart"/>
            <w:noWrap w:val="0"/>
            <w:vAlign w:val="center"/>
          </w:tcPr>
          <w:p w14:paraId="674B12CA">
            <w:pPr>
              <w:jc w:val="center"/>
              <w:rPr>
                <w:bCs/>
              </w:rPr>
            </w:pPr>
            <w:r>
              <w:rPr>
                <w:rFonts w:hint="eastAsia"/>
                <w:bCs/>
              </w:rPr>
              <w:t>系统管理</w:t>
            </w:r>
          </w:p>
        </w:tc>
        <w:tc>
          <w:tcPr>
            <w:tcW w:w="3606" w:type="pct"/>
            <w:noWrap w:val="0"/>
            <w:vAlign w:val="center"/>
          </w:tcPr>
          <w:p w14:paraId="0DA034EF">
            <w:r>
              <w:rPr>
                <w:rFonts w:hint="eastAsia"/>
              </w:rPr>
              <w:t>全局参数</w:t>
            </w:r>
          </w:p>
        </w:tc>
      </w:tr>
      <w:tr w14:paraId="66EF58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4783CBA9">
            <w:pPr>
              <w:numPr>
                <w:ilvl w:val="0"/>
                <w:numId w:val="9"/>
              </w:numPr>
              <w:jc w:val="center"/>
              <w:rPr>
                <w:bCs/>
              </w:rPr>
            </w:pPr>
          </w:p>
        </w:tc>
        <w:tc>
          <w:tcPr>
            <w:tcW w:w="866" w:type="pct"/>
            <w:vMerge w:val="continue"/>
            <w:noWrap w:val="0"/>
            <w:vAlign w:val="center"/>
          </w:tcPr>
          <w:p w14:paraId="7804EFC6">
            <w:pPr>
              <w:jc w:val="center"/>
              <w:rPr>
                <w:bCs/>
              </w:rPr>
            </w:pPr>
          </w:p>
        </w:tc>
        <w:tc>
          <w:tcPr>
            <w:tcW w:w="3606" w:type="pct"/>
            <w:noWrap w:val="0"/>
            <w:vAlign w:val="center"/>
          </w:tcPr>
          <w:p w14:paraId="52857D26">
            <w:r>
              <w:rPr>
                <w:rFonts w:hint="eastAsia"/>
              </w:rPr>
              <w:t>操作日志</w:t>
            </w:r>
          </w:p>
        </w:tc>
      </w:tr>
      <w:tr w14:paraId="204B37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15BC89B2">
            <w:pPr>
              <w:numPr>
                <w:ilvl w:val="0"/>
                <w:numId w:val="9"/>
              </w:numPr>
              <w:jc w:val="center"/>
              <w:rPr>
                <w:bCs/>
              </w:rPr>
            </w:pPr>
          </w:p>
        </w:tc>
        <w:tc>
          <w:tcPr>
            <w:tcW w:w="866" w:type="pct"/>
            <w:vMerge w:val="continue"/>
            <w:noWrap w:val="0"/>
            <w:vAlign w:val="center"/>
          </w:tcPr>
          <w:p w14:paraId="49E98A1F">
            <w:pPr>
              <w:jc w:val="center"/>
              <w:rPr>
                <w:bCs/>
              </w:rPr>
            </w:pPr>
          </w:p>
        </w:tc>
        <w:tc>
          <w:tcPr>
            <w:tcW w:w="3606" w:type="pct"/>
            <w:noWrap w:val="0"/>
            <w:vAlign w:val="center"/>
          </w:tcPr>
          <w:p w14:paraId="0C41D880">
            <w:r>
              <w:rPr>
                <w:rFonts w:hint="eastAsia"/>
              </w:rPr>
              <w:t>企业定制</w:t>
            </w:r>
          </w:p>
        </w:tc>
      </w:tr>
    </w:tbl>
    <w:p w14:paraId="28E308C8"/>
    <w:p w14:paraId="062AA1FC">
      <w:pPr>
        <w:pStyle w:val="3"/>
      </w:pPr>
      <w:r>
        <w:rPr>
          <w:rFonts w:hint="eastAsia"/>
        </w:rPr>
        <w:t>测试计划制定</w:t>
      </w:r>
    </w:p>
    <w:p w14:paraId="29424E65">
      <w:pPr>
        <w:spacing w:line="360" w:lineRule="auto"/>
        <w:ind w:firstLine="480" w:firstLineChars="200"/>
        <w:rPr>
          <w:rFonts w:hint="eastAsia" w:ascii="宋体" w:hAnsi="宋体" w:cs="宋体"/>
          <w:sz w:val="24"/>
          <w:szCs w:val="32"/>
        </w:rPr>
      </w:pPr>
      <w:r>
        <w:rPr>
          <w:rFonts w:hint="eastAsia" w:ascii="宋体" w:hAnsi="宋体" w:cs="宋体"/>
          <w:sz w:val="24"/>
          <w:szCs w:val="32"/>
        </w:rPr>
        <w:t>在项目启动阶段，根据项目需求文档、设计文档和相关标准，制定详细的软件测试计划。测试计划应包括测试目标、测试范围、测试策略、测试资源分配、测试进度安排、风险评估与应对措施等内容，确保测试工作有明确的方向和规划。</w:t>
      </w:r>
    </w:p>
    <w:p w14:paraId="076EA066">
      <w:pPr>
        <w:spacing w:line="360" w:lineRule="auto"/>
        <w:ind w:firstLine="480" w:firstLineChars="200"/>
        <w:rPr>
          <w:rFonts w:hint="eastAsia" w:ascii="宋体" w:hAnsi="宋体" w:cs="宋体"/>
          <w:sz w:val="24"/>
          <w:szCs w:val="32"/>
        </w:rPr>
      </w:pPr>
      <w:r>
        <w:rPr>
          <w:rFonts w:hint="eastAsia" w:ascii="宋体" w:hAnsi="宋体" w:cs="宋体"/>
          <w:sz w:val="24"/>
          <w:szCs w:val="32"/>
        </w:rPr>
        <w:t>明确功能测试和稳定性测试的具体目标和重点。功能测试目标是确保软件系统的各项功能符合需求规格说明书的要求，覆盖所有功能模块和业务流程，包括正常业务场景、异常业务场景和边界值情况等。稳定性测试目标是评估软件系统在长时间运行和高负载情况下的稳定性和可靠性，确保系统不会出现内存泄漏、资源耗尽、崩溃或异常退出等问题。</w:t>
      </w:r>
    </w:p>
    <w:p w14:paraId="6EF77888">
      <w:pPr>
        <w:pStyle w:val="3"/>
      </w:pPr>
      <w:r>
        <w:rPr>
          <w:rFonts w:hint="eastAsia"/>
        </w:rPr>
        <w:t>功能测试</w:t>
      </w:r>
    </w:p>
    <w:p w14:paraId="347504B1">
      <w:pPr>
        <w:spacing w:line="360" w:lineRule="auto"/>
        <w:ind w:firstLine="482" w:firstLineChars="200"/>
        <w:rPr>
          <w:rFonts w:hint="eastAsia" w:ascii="宋体" w:hAnsi="宋体" w:cs="宋体"/>
          <w:b/>
          <w:bCs/>
          <w:sz w:val="24"/>
          <w:szCs w:val="32"/>
        </w:rPr>
      </w:pPr>
      <w:r>
        <w:rPr>
          <w:rFonts w:hint="eastAsia" w:ascii="宋体" w:hAnsi="宋体" w:cs="宋体"/>
          <w:b/>
          <w:bCs/>
          <w:sz w:val="24"/>
          <w:szCs w:val="32"/>
        </w:rPr>
        <w:t>1. 测试用例设计</w:t>
      </w:r>
    </w:p>
    <w:p w14:paraId="3A84C242">
      <w:pPr>
        <w:spacing w:line="360" w:lineRule="auto"/>
        <w:ind w:firstLine="480" w:firstLineChars="200"/>
        <w:rPr>
          <w:rFonts w:hint="eastAsia" w:ascii="宋体" w:hAnsi="宋体" w:cs="宋体"/>
          <w:sz w:val="24"/>
          <w:szCs w:val="32"/>
        </w:rPr>
      </w:pPr>
      <w:r>
        <w:rPr>
          <w:rFonts w:hint="eastAsia" w:ascii="宋体" w:hAnsi="宋体" w:cs="宋体"/>
          <w:sz w:val="24"/>
          <w:szCs w:val="32"/>
        </w:rPr>
        <w:t>依据需求规格说明书，运用等价类划分、边界值分析、因果图、决策表等测试用例设计方法，为每个功能模块设计全面、详细的测试用例。测试用例应包括测试场景描述、输入数据、预期输出结果、执行步骤和实际测试结果等信息，确保对软件功能的全面覆盖和准确验证。</w:t>
      </w:r>
    </w:p>
    <w:p w14:paraId="27B16B18">
      <w:pPr>
        <w:spacing w:line="360" w:lineRule="auto"/>
        <w:ind w:firstLine="480" w:firstLineChars="200"/>
        <w:rPr>
          <w:rFonts w:hint="eastAsia" w:ascii="宋体" w:hAnsi="宋体" w:cs="宋体"/>
          <w:sz w:val="24"/>
          <w:szCs w:val="32"/>
        </w:rPr>
      </w:pPr>
      <w:r>
        <w:rPr>
          <w:rFonts w:hint="eastAsia" w:ascii="宋体" w:hAnsi="宋体" w:cs="宋体"/>
          <w:sz w:val="24"/>
          <w:szCs w:val="32"/>
        </w:rPr>
        <w:t>针对项目中的数字孪生技术应用，设计专门的测试用例，验证数字孪生模型与物理实体之间的数据交互与同步是否准确实时，模型是否能够真实反映物理实体的状态变化，以及基于数字孪生模型的数据分析和应用功能是否正确实现，如网络流量分析、安全评估、预测性防护等功能的准确性和有效性。</w:t>
      </w:r>
    </w:p>
    <w:p w14:paraId="04344FEA">
      <w:pPr>
        <w:spacing w:line="360" w:lineRule="auto"/>
        <w:ind w:firstLine="482" w:firstLineChars="200"/>
        <w:rPr>
          <w:rFonts w:hint="eastAsia" w:ascii="宋体" w:hAnsi="宋体" w:cs="宋体"/>
          <w:b/>
          <w:bCs/>
          <w:sz w:val="24"/>
          <w:szCs w:val="32"/>
        </w:rPr>
      </w:pPr>
      <w:r>
        <w:rPr>
          <w:rFonts w:hint="eastAsia" w:ascii="宋体" w:hAnsi="宋体" w:cs="宋体"/>
          <w:b/>
          <w:bCs/>
          <w:sz w:val="24"/>
          <w:szCs w:val="32"/>
        </w:rPr>
        <w:t>2. 功能测试执行</w:t>
      </w:r>
    </w:p>
    <w:p w14:paraId="0CC0D90F">
      <w:pPr>
        <w:spacing w:line="360" w:lineRule="auto"/>
        <w:ind w:firstLine="480" w:firstLineChars="200"/>
        <w:rPr>
          <w:rFonts w:hint="eastAsia" w:ascii="宋体" w:hAnsi="宋体" w:cs="宋体"/>
          <w:sz w:val="24"/>
          <w:szCs w:val="32"/>
        </w:rPr>
      </w:pPr>
      <w:r>
        <w:rPr>
          <w:rFonts w:hint="eastAsia" w:ascii="宋体" w:hAnsi="宋体" w:cs="宋体"/>
          <w:sz w:val="24"/>
          <w:szCs w:val="32"/>
        </w:rPr>
        <w:t>测试人员严格按照测试用例执行功能测试，详细记录测试过程中发现的问题，包括问题描述、发现时间、出现频率、所属功能模块等信息。对于发现的缺陷，及时提交到缺陷管理工具中，进行跟踪和管理。</w:t>
      </w:r>
    </w:p>
    <w:p w14:paraId="274E89D4">
      <w:pPr>
        <w:spacing w:line="360" w:lineRule="auto"/>
        <w:ind w:firstLine="480" w:firstLineChars="200"/>
        <w:rPr>
          <w:rFonts w:hint="eastAsia" w:ascii="宋体" w:hAnsi="宋体" w:cs="宋体"/>
          <w:sz w:val="24"/>
          <w:szCs w:val="32"/>
        </w:rPr>
      </w:pPr>
      <w:r>
        <w:rPr>
          <w:rFonts w:hint="eastAsia" w:ascii="宋体" w:hAnsi="宋体" w:cs="宋体"/>
          <w:sz w:val="24"/>
          <w:szCs w:val="32"/>
        </w:rPr>
        <w:t>在测试过程中，注重对软件界面的友好性、操作的便捷性以及数据的准确性和完整性进行检查。确保软件系统易于使用，用户操作流程符合逻辑，数据在各个功能模块之间的传递和处理准确无误，不会出现数据丢失、篡改或不一致的情况。</w:t>
      </w:r>
    </w:p>
    <w:p w14:paraId="6218E08C">
      <w:pPr>
        <w:spacing w:line="360" w:lineRule="auto"/>
        <w:ind w:firstLine="482" w:firstLineChars="200"/>
        <w:rPr>
          <w:rFonts w:hint="eastAsia" w:ascii="宋体" w:hAnsi="宋体" w:cs="宋体"/>
          <w:b/>
          <w:bCs/>
          <w:sz w:val="24"/>
          <w:szCs w:val="32"/>
        </w:rPr>
      </w:pPr>
      <w:r>
        <w:rPr>
          <w:rFonts w:hint="eastAsia" w:ascii="宋体" w:hAnsi="宋体" w:cs="宋体"/>
          <w:b/>
          <w:bCs/>
          <w:sz w:val="24"/>
          <w:szCs w:val="32"/>
        </w:rPr>
        <w:t>3. 缺陷管理与跟踪</w:t>
      </w:r>
    </w:p>
    <w:p w14:paraId="7FB4455B">
      <w:pPr>
        <w:spacing w:line="360" w:lineRule="auto"/>
        <w:ind w:firstLine="480" w:firstLineChars="200"/>
        <w:rPr>
          <w:rFonts w:hint="eastAsia" w:ascii="宋体" w:hAnsi="宋体" w:cs="宋体"/>
          <w:sz w:val="24"/>
          <w:szCs w:val="32"/>
        </w:rPr>
      </w:pPr>
      <w:r>
        <w:rPr>
          <w:rFonts w:hint="eastAsia" w:ascii="宋体" w:hAnsi="宋体" w:cs="宋体"/>
          <w:sz w:val="24"/>
          <w:szCs w:val="32"/>
        </w:rPr>
        <w:t>建立严格的缺陷管理流程，对提交的缺陷进行分类、分级和优先级排序。缺陷分类可包括功能缺陷、界面缺陷、性能缺陷、兼容性缺陷等；分级可根据缺陷的严重程度分为致命、严重、一般和轻微等级别；优先级根据缺陷对业务的影响程度和修复的紧急程度确定。</w:t>
      </w:r>
    </w:p>
    <w:p w14:paraId="417FB2FC">
      <w:pPr>
        <w:spacing w:line="360" w:lineRule="auto"/>
        <w:ind w:firstLine="480" w:firstLineChars="200"/>
        <w:rPr>
          <w:rFonts w:hint="eastAsia" w:ascii="宋体" w:hAnsi="宋体" w:cs="宋体"/>
          <w:sz w:val="24"/>
          <w:szCs w:val="32"/>
        </w:rPr>
      </w:pPr>
      <w:r>
        <w:rPr>
          <w:rFonts w:hint="eastAsia" w:ascii="宋体" w:hAnsi="宋体" w:cs="宋体"/>
          <w:sz w:val="24"/>
          <w:szCs w:val="32"/>
        </w:rPr>
        <w:t>及时将缺陷分配给开发人员进行修复，并跟踪缺陷的修复进度。在缺陷修复后，进行回归测试，验证缺陷是否已被彻底解决，确保修复过程没有引入新的问题。对缺陷的处理过程和结果进行详细记录，形成缺陷报告，为项目质量评估和后续改进提供依据。</w:t>
      </w:r>
    </w:p>
    <w:p w14:paraId="56A597F1">
      <w:pPr>
        <w:pStyle w:val="3"/>
      </w:pPr>
      <w:r>
        <w:rPr>
          <w:rFonts w:hint="eastAsia"/>
        </w:rPr>
        <w:t>稳定性测试</w:t>
      </w:r>
    </w:p>
    <w:p w14:paraId="54AABB5E">
      <w:pPr>
        <w:spacing w:line="360" w:lineRule="auto"/>
        <w:ind w:firstLine="482" w:firstLineChars="200"/>
        <w:rPr>
          <w:rFonts w:hint="eastAsia" w:ascii="宋体" w:hAnsi="宋体" w:cs="宋体"/>
          <w:b/>
          <w:bCs/>
          <w:sz w:val="24"/>
          <w:szCs w:val="32"/>
        </w:rPr>
      </w:pPr>
      <w:r>
        <w:rPr>
          <w:rFonts w:hint="eastAsia" w:ascii="宋体" w:hAnsi="宋体" w:cs="宋体"/>
          <w:b/>
          <w:bCs/>
          <w:sz w:val="24"/>
          <w:szCs w:val="32"/>
        </w:rPr>
        <w:t>1. 测试环境搭建</w:t>
      </w:r>
    </w:p>
    <w:p w14:paraId="3D4F53BB">
      <w:pPr>
        <w:spacing w:line="360" w:lineRule="auto"/>
        <w:ind w:firstLine="480" w:firstLineChars="200"/>
        <w:rPr>
          <w:rFonts w:hint="eastAsia" w:ascii="宋体" w:hAnsi="宋体" w:cs="宋体"/>
          <w:sz w:val="24"/>
          <w:szCs w:val="32"/>
        </w:rPr>
      </w:pPr>
      <w:r>
        <w:rPr>
          <w:rFonts w:hint="eastAsia" w:ascii="宋体" w:hAnsi="宋体" w:cs="宋体"/>
          <w:sz w:val="24"/>
          <w:szCs w:val="32"/>
        </w:rPr>
        <w:t>模拟真实生产环境搭建稳定性测试环境，确保测试环境与实际运行环境在硬件配置、操作系统、数据库系统、中间件、网络环境等方面具有高度的一致性和兼容性。包括服务器硬件参数（如 CPU 型号、内存大小、硬盘类型和容量等）、操作系统版本和补丁级别、数据库软件及配置、应用服务器及相关组件的设置等，尽可能还原软件系统在实际运行中的各种条件。</w:t>
      </w:r>
    </w:p>
    <w:p w14:paraId="20854B34">
      <w:pPr>
        <w:spacing w:line="360" w:lineRule="auto"/>
        <w:ind w:firstLine="480" w:firstLineChars="200"/>
        <w:rPr>
          <w:rFonts w:hint="eastAsia" w:ascii="宋体" w:hAnsi="宋体" w:cs="宋体"/>
          <w:sz w:val="24"/>
          <w:szCs w:val="32"/>
        </w:rPr>
      </w:pPr>
      <w:r>
        <w:rPr>
          <w:rFonts w:hint="eastAsia" w:ascii="宋体" w:hAnsi="宋体" w:cs="宋体"/>
          <w:sz w:val="24"/>
          <w:szCs w:val="32"/>
        </w:rPr>
        <w:t>配置测试工具，如性能测试工具中的负载生成器、监控代理等，确保测试工具能够准确模拟多用户并发访问和高负载场景，并且能够实时采集和分析系统的性能数据。</w:t>
      </w:r>
    </w:p>
    <w:p w14:paraId="52CB7E24">
      <w:pPr>
        <w:spacing w:line="360" w:lineRule="auto"/>
        <w:ind w:firstLine="482" w:firstLineChars="200"/>
        <w:rPr>
          <w:rFonts w:hint="eastAsia" w:ascii="宋体" w:hAnsi="宋体" w:cs="宋体"/>
          <w:b/>
          <w:bCs/>
          <w:sz w:val="24"/>
          <w:szCs w:val="32"/>
        </w:rPr>
      </w:pPr>
      <w:r>
        <w:rPr>
          <w:rFonts w:hint="eastAsia" w:ascii="宋体" w:hAnsi="宋体" w:cs="宋体"/>
          <w:b/>
          <w:bCs/>
          <w:sz w:val="24"/>
          <w:szCs w:val="32"/>
        </w:rPr>
        <w:t>2. 稳定性测试方案设计</w:t>
      </w:r>
    </w:p>
    <w:p w14:paraId="2019F211">
      <w:pPr>
        <w:spacing w:line="360" w:lineRule="auto"/>
        <w:ind w:firstLine="480" w:firstLineChars="200"/>
        <w:rPr>
          <w:rFonts w:hint="eastAsia" w:ascii="宋体" w:hAnsi="宋体" w:cs="宋体"/>
          <w:sz w:val="24"/>
          <w:szCs w:val="32"/>
        </w:rPr>
      </w:pPr>
      <w:r>
        <w:rPr>
          <w:rFonts w:hint="eastAsia" w:ascii="宋体" w:hAnsi="宋体" w:cs="宋体"/>
          <w:sz w:val="24"/>
          <w:szCs w:val="32"/>
        </w:rPr>
        <w:t>设计合理的稳定性测试方案，确定测试的持续时间、负载模式和负载级别。持续时间应足够长，以充分暴露软件系统在长时间运行过程中可能出现的稳定性问题，一般建议不少于 72 小时；负载模式应模拟实际业务场景中的用户行为模式，如并发用户登录、数据查询与更新、文件上传下载等操作的混合模式；负载级别应逐步增加，从低负载到高负载，直至达到或超过系统设计的最大负载能力，观察系统在不同负载条件下的稳定性表现。</w:t>
      </w:r>
    </w:p>
    <w:p w14:paraId="09CAF740">
      <w:pPr>
        <w:spacing w:line="360" w:lineRule="auto"/>
        <w:ind w:firstLine="480" w:firstLineChars="200"/>
        <w:rPr>
          <w:rFonts w:hint="eastAsia" w:ascii="宋体" w:hAnsi="宋体" w:cs="宋体"/>
          <w:sz w:val="24"/>
          <w:szCs w:val="32"/>
        </w:rPr>
      </w:pPr>
      <w:r>
        <w:rPr>
          <w:rFonts w:hint="eastAsia" w:ascii="宋体" w:hAnsi="宋体" w:cs="宋体"/>
          <w:sz w:val="24"/>
          <w:szCs w:val="32"/>
        </w:rPr>
        <w:t>针对项目中的数字孪生系统，考虑在稳定性测试过程中模拟大量设备数据的实时采集、传输、处理和分析场景，以及各种安全事件的频繁触发情况，确保数字孪生系统在复杂业务环境下的稳定性和可靠性。</w:t>
      </w:r>
    </w:p>
    <w:p w14:paraId="02C6FA30">
      <w:pPr>
        <w:spacing w:line="360" w:lineRule="auto"/>
        <w:ind w:firstLine="482" w:firstLineChars="200"/>
        <w:rPr>
          <w:rFonts w:hint="eastAsia" w:ascii="宋体" w:hAnsi="宋体" w:cs="宋体"/>
          <w:b/>
          <w:bCs/>
          <w:sz w:val="24"/>
          <w:szCs w:val="32"/>
        </w:rPr>
      </w:pPr>
      <w:r>
        <w:rPr>
          <w:rFonts w:hint="eastAsia" w:ascii="宋体" w:hAnsi="宋体" w:cs="宋体"/>
          <w:b/>
          <w:bCs/>
          <w:sz w:val="24"/>
          <w:szCs w:val="32"/>
        </w:rPr>
        <w:t>3. 稳定性测试执行与监控</w:t>
      </w:r>
    </w:p>
    <w:p w14:paraId="6F6180E6">
      <w:pPr>
        <w:spacing w:line="360" w:lineRule="auto"/>
        <w:ind w:firstLine="480" w:firstLineChars="200"/>
        <w:rPr>
          <w:rFonts w:hint="eastAsia" w:ascii="宋体" w:hAnsi="宋体" w:cs="宋体"/>
          <w:sz w:val="24"/>
          <w:szCs w:val="32"/>
        </w:rPr>
      </w:pPr>
      <w:r>
        <w:rPr>
          <w:rFonts w:hint="eastAsia" w:ascii="宋体" w:hAnsi="宋体" w:cs="宋体"/>
          <w:sz w:val="24"/>
          <w:szCs w:val="32"/>
        </w:rPr>
        <w:t>按照稳定性测试方案执行测试，在测试过程中，实时监控软件系统的各项性能指标，如 CPU 使用率、内存占用、磁盘 I/O、网络流量、响应时间、事务处理成功率等。通过性能监控工具生成性能曲线和报表，直观展示系统性能随时间的变化趋势，及时发现性能瓶颈和潜在的稳定性问题。</w:t>
      </w:r>
    </w:p>
    <w:p w14:paraId="7D433227">
      <w:pPr>
        <w:spacing w:line="360" w:lineRule="auto"/>
        <w:ind w:firstLine="480" w:firstLineChars="200"/>
        <w:rPr>
          <w:rFonts w:hint="eastAsia" w:ascii="宋体" w:hAnsi="宋体" w:cs="宋体"/>
          <w:sz w:val="24"/>
          <w:szCs w:val="32"/>
        </w:rPr>
      </w:pPr>
      <w:r>
        <w:rPr>
          <w:rFonts w:hint="eastAsia" w:ascii="宋体" w:hAnsi="宋体" w:cs="宋体"/>
          <w:sz w:val="24"/>
          <w:szCs w:val="32"/>
        </w:rPr>
        <w:t>同时，密切关注系统的日志信息，记录系统在运行过程中出现的任何异常情况，如错误日志、警告信息等。对系统出现的崩溃、异常退出、无响应等严重问题进行详细分析，收集相关的内存转储文件、日志文件和系统状态信息，为问题定位和解决提供依据。</w:t>
      </w:r>
    </w:p>
    <w:p w14:paraId="1A07A247">
      <w:pPr>
        <w:spacing w:line="360" w:lineRule="auto"/>
        <w:ind w:firstLine="482" w:firstLineChars="200"/>
        <w:rPr>
          <w:rFonts w:hint="eastAsia" w:ascii="宋体" w:hAnsi="宋体" w:cs="宋体"/>
          <w:b/>
          <w:bCs/>
          <w:sz w:val="24"/>
          <w:szCs w:val="32"/>
        </w:rPr>
      </w:pPr>
      <w:r>
        <w:rPr>
          <w:rFonts w:hint="eastAsia" w:ascii="宋体" w:hAnsi="宋体" w:cs="宋体"/>
          <w:b/>
          <w:bCs/>
          <w:sz w:val="24"/>
          <w:szCs w:val="32"/>
        </w:rPr>
        <w:t>4. 稳定性问题分析与解决</w:t>
      </w:r>
    </w:p>
    <w:p w14:paraId="2C07C130">
      <w:pPr>
        <w:spacing w:line="360" w:lineRule="auto"/>
        <w:ind w:firstLine="480" w:firstLineChars="200"/>
        <w:rPr>
          <w:rFonts w:hint="eastAsia" w:ascii="宋体" w:hAnsi="宋体" w:cs="宋体"/>
          <w:sz w:val="24"/>
          <w:szCs w:val="32"/>
        </w:rPr>
      </w:pPr>
      <w:r>
        <w:rPr>
          <w:rFonts w:hint="eastAsia" w:ascii="宋体" w:hAnsi="宋体" w:cs="宋体"/>
          <w:sz w:val="24"/>
          <w:szCs w:val="32"/>
        </w:rPr>
        <w:t>对稳定性测试过程中发现的问题进行深入分析，确定问题的根本原因。问题分析可能涉及多个方面，如软件代码缺陷、资源竞争、内存管理问题、配置不当、外部接口异常等。通过代码审查、调试工具、性能分析工具等手段，逐步排查问题，定位问题所在的代码模块或系统组件。</w:t>
      </w:r>
    </w:p>
    <w:p w14:paraId="30937A14">
      <w:pPr>
        <w:spacing w:line="360" w:lineRule="auto"/>
        <w:ind w:firstLine="480" w:firstLineChars="200"/>
        <w:rPr>
          <w:rFonts w:hint="eastAsia" w:ascii="宋体" w:hAnsi="宋体" w:cs="宋体"/>
          <w:sz w:val="24"/>
          <w:szCs w:val="32"/>
        </w:rPr>
      </w:pPr>
      <w:r>
        <w:rPr>
          <w:rFonts w:hint="eastAsia" w:ascii="宋体" w:hAnsi="宋体" w:cs="宋体"/>
          <w:sz w:val="24"/>
          <w:szCs w:val="32"/>
        </w:rPr>
        <w:t>针对稳定性问题制定有效的解决方案，可能包括代码优化、调整资源配置、修复软件漏洞、改进系统架构等措施。在问题解决后，进行再次稳定性测试，验证问题是否已得到彻底解决，确保软件系统的稳定性和可靠性得到有效提升。</w:t>
      </w:r>
    </w:p>
    <w:p w14:paraId="17F5A6B9">
      <w:pPr>
        <w:spacing w:line="360" w:lineRule="auto"/>
        <w:ind w:firstLine="482" w:firstLineChars="200"/>
        <w:rPr>
          <w:rFonts w:hint="eastAsia" w:ascii="宋体" w:hAnsi="宋体" w:cs="宋体"/>
          <w:b/>
          <w:bCs/>
          <w:sz w:val="24"/>
          <w:szCs w:val="32"/>
        </w:rPr>
      </w:pPr>
      <w:r>
        <w:rPr>
          <w:rFonts w:hint="eastAsia" w:ascii="宋体" w:hAnsi="宋体" w:cs="宋体"/>
          <w:b/>
          <w:bCs/>
          <w:sz w:val="24"/>
          <w:szCs w:val="32"/>
        </w:rPr>
        <w:t>（四）测试报告编制</w:t>
      </w:r>
    </w:p>
    <w:p w14:paraId="5321C1F8">
      <w:pPr>
        <w:spacing w:line="360" w:lineRule="auto"/>
        <w:ind w:firstLine="480" w:firstLineChars="200"/>
        <w:rPr>
          <w:rFonts w:hint="eastAsia" w:ascii="宋体" w:hAnsi="宋体" w:cs="宋体"/>
          <w:sz w:val="24"/>
          <w:szCs w:val="32"/>
        </w:rPr>
      </w:pPr>
      <w:r>
        <w:rPr>
          <w:rFonts w:hint="eastAsia" w:ascii="宋体" w:hAnsi="宋体" w:cs="宋体"/>
          <w:sz w:val="24"/>
          <w:szCs w:val="32"/>
        </w:rPr>
        <w:t>在测试完成后，根据测试结果编制详细的软件测试报告。测试报告应包括测试项目概述、测试目标、测试范围、测试方法、测试环境、测试执行情况、测试结果汇总（包括功能测试结果、稳定性测试结果等）、缺陷统计与分析、测试结论、风险评估与建议等内容。</w:t>
      </w:r>
    </w:p>
    <w:p w14:paraId="25C00E8B">
      <w:pPr>
        <w:spacing w:line="360" w:lineRule="auto"/>
        <w:ind w:firstLine="480" w:firstLineChars="200"/>
        <w:rPr>
          <w:rFonts w:hint="eastAsia" w:ascii="宋体" w:hAnsi="宋体" w:cs="宋体"/>
          <w:sz w:val="24"/>
          <w:szCs w:val="32"/>
        </w:rPr>
      </w:pPr>
      <w:r>
        <w:rPr>
          <w:rFonts w:hint="eastAsia" w:ascii="宋体" w:hAnsi="宋体" w:cs="宋体"/>
          <w:sz w:val="24"/>
          <w:szCs w:val="32"/>
        </w:rPr>
        <w:t>测试报告应客观、准确地反映软件系统的质量状况，为项目验收提供重要依据。同时，通过对测试结果的分析和总结，为项目团队提供有价值的反馈信息，帮助开发人员了解软件系统存在的问题和不足之处，为后续的优化和改进提供方向。</w:t>
      </w:r>
    </w:p>
    <w:p w14:paraId="4FE0E097">
      <w:pPr>
        <w:pStyle w:val="2"/>
        <w:spacing w:before="156" w:after="156"/>
      </w:pPr>
      <w:r>
        <w:rPr>
          <w:rFonts w:hint="eastAsia"/>
        </w:rPr>
        <w:t>附件5：技术服务文档交付</w:t>
      </w:r>
    </w:p>
    <w:p w14:paraId="11ACDB51">
      <w:pPr>
        <w:numPr>
          <w:ilvl w:val="0"/>
          <w:numId w:val="10"/>
        </w:numPr>
        <w:spacing w:line="360" w:lineRule="auto"/>
        <w:rPr>
          <w:rFonts w:hint="eastAsia" w:ascii="宋体" w:hAnsi="宋体" w:cs="宋体"/>
          <w:sz w:val="24"/>
          <w:szCs w:val="32"/>
        </w:rPr>
      </w:pPr>
      <w:r>
        <w:rPr>
          <w:rFonts w:hint="eastAsia" w:ascii="宋体" w:hAnsi="宋体" w:cs="宋体"/>
          <w:sz w:val="24"/>
          <w:szCs w:val="32"/>
        </w:rPr>
        <w:t>虚拟化平台部署实施技术文档</w:t>
      </w:r>
    </w:p>
    <w:p w14:paraId="1B9836D3">
      <w:pPr>
        <w:numPr>
          <w:ilvl w:val="0"/>
          <w:numId w:val="10"/>
        </w:numPr>
        <w:spacing w:line="360" w:lineRule="auto"/>
        <w:rPr>
          <w:rFonts w:hint="eastAsia" w:ascii="宋体" w:hAnsi="宋体" w:cs="宋体"/>
          <w:sz w:val="24"/>
          <w:szCs w:val="32"/>
        </w:rPr>
      </w:pPr>
      <w:r>
        <w:rPr>
          <w:rFonts w:hint="eastAsia" w:ascii="宋体" w:hAnsi="宋体" w:cs="宋体"/>
          <w:sz w:val="24"/>
          <w:szCs w:val="32"/>
        </w:rPr>
        <w:t>设备对接及调试技术文档</w:t>
      </w:r>
    </w:p>
    <w:p w14:paraId="1985BEFC">
      <w:pPr>
        <w:numPr>
          <w:ilvl w:val="0"/>
          <w:numId w:val="10"/>
        </w:numPr>
        <w:spacing w:line="360" w:lineRule="auto"/>
        <w:rPr>
          <w:rFonts w:hint="eastAsia" w:ascii="宋体" w:hAnsi="宋体" w:cs="宋体"/>
          <w:sz w:val="24"/>
          <w:szCs w:val="32"/>
        </w:rPr>
      </w:pPr>
      <w:r>
        <w:rPr>
          <w:rFonts w:hint="eastAsia" w:ascii="宋体" w:hAnsi="宋体" w:cs="宋体"/>
          <w:sz w:val="24"/>
          <w:szCs w:val="32"/>
        </w:rPr>
        <w:t>测试用例</w:t>
      </w:r>
    </w:p>
    <w:p w14:paraId="162BFD8B">
      <w:pPr>
        <w:numPr>
          <w:ilvl w:val="0"/>
          <w:numId w:val="10"/>
        </w:numPr>
        <w:spacing w:line="360" w:lineRule="auto"/>
        <w:rPr>
          <w:rFonts w:hint="eastAsia" w:ascii="宋体" w:hAnsi="宋体" w:cs="宋体"/>
          <w:sz w:val="24"/>
          <w:szCs w:val="32"/>
        </w:rPr>
      </w:pPr>
      <w:r>
        <w:rPr>
          <w:rFonts w:hint="eastAsia" w:ascii="宋体" w:hAnsi="宋体" w:cs="宋体"/>
          <w:sz w:val="24"/>
          <w:szCs w:val="32"/>
        </w:rPr>
        <w:t>测试报告</w:t>
      </w:r>
    </w:p>
    <w:sectPr>
      <w:headerReference r:id="rId3" w:type="default"/>
      <w:footerReference r:id="rId4" w:type="default"/>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4EB538">
    <w:pPr>
      <w:pStyle w:val="11"/>
    </w:pPr>
    <w:r>
      <w:rPr>
        <w:lang/>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38355A6D">
                          <w:pPr>
                            <w:pStyle w:val="11"/>
                          </w:pPr>
                          <w:r>
                            <w:t xml:space="preserve">第 </w:t>
                          </w:r>
                          <w:r>
                            <w:fldChar w:fldCharType="begin"/>
                          </w:r>
                          <w:r>
                            <w:instrText xml:space="preserve"> PAGE  \* MERGEFORMAT </w:instrText>
                          </w:r>
                          <w:r>
                            <w:fldChar w:fldCharType="separate"/>
                          </w:r>
                          <w:r>
                            <w:t>1</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4HF0wAgAAY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eEybMsbPXO&#10;8ggd5fF2dQyQs1M5itIrge7EDWav69PwTuJw/7nvoh7/Dc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0lY7tAAAAAFAQAADwAAAAAAAAABACAAAAAiAAAAZHJzL2Rvd25yZXYueG1sUEsBAhQAFAAA&#10;AAgAh07iQFB4HF0wAgAAYwQAAA4AAAAAAAAAAQAgAAAAHwEAAGRycy9lMm9Eb2MueG1sUEsFBgAA&#10;AAAGAAYAWQEAAMEFAAAAAA==&#10;">
              <v:fill on="f" focussize="0,0"/>
              <v:stroke on="f" weight="0.5pt"/>
              <v:imagedata o:title=""/>
              <o:lock v:ext="edit" aspectratio="f"/>
              <v:textbox inset="0mm,0mm,0mm,0mm" style="mso-fit-shape-to-text:t;">
                <w:txbxContent>
                  <w:p w14:paraId="38355A6D">
                    <w:pPr>
                      <w:pStyle w:val="11"/>
                    </w:pPr>
                    <w:r>
                      <w:t xml:space="preserve">第 </w:t>
                    </w:r>
                    <w:r>
                      <w:fldChar w:fldCharType="begin"/>
                    </w:r>
                    <w:r>
                      <w:instrText xml:space="preserve"> PAGE  \* MERGEFORMAT </w:instrText>
                    </w:r>
                    <w:r>
                      <w:fldChar w:fldCharType="separate"/>
                    </w:r>
                    <w:r>
                      <w:t>1</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6D82F5">
    <w:pPr>
      <w:jc w:val="center"/>
      <w:rPr>
        <w:color w:val="59595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2B1A14"/>
    <w:multiLevelType w:val="singleLevel"/>
    <w:tmpl w:val="912B1A14"/>
    <w:lvl w:ilvl="0" w:tentative="0">
      <w:start w:val="1"/>
      <w:numFmt w:val="decimal"/>
      <w:lvlText w:val="%1."/>
      <w:lvlJc w:val="left"/>
      <w:pPr>
        <w:tabs>
          <w:tab w:val="left" w:pos="420"/>
        </w:tabs>
        <w:ind w:left="845" w:hanging="425"/>
      </w:pPr>
      <w:rPr>
        <w:rFonts w:hint="default"/>
      </w:rPr>
    </w:lvl>
  </w:abstractNum>
  <w:abstractNum w:abstractNumId="1">
    <w:nsid w:val="968C7F9C"/>
    <w:multiLevelType w:val="singleLevel"/>
    <w:tmpl w:val="968C7F9C"/>
    <w:lvl w:ilvl="0" w:tentative="0">
      <w:start w:val="1"/>
      <w:numFmt w:val="decimal"/>
      <w:lvlText w:val="%1."/>
      <w:lvlJc w:val="left"/>
      <w:pPr>
        <w:ind w:left="425" w:hanging="425"/>
      </w:pPr>
      <w:rPr>
        <w:rFonts w:hint="default"/>
      </w:rPr>
    </w:lvl>
  </w:abstractNum>
  <w:abstractNum w:abstractNumId="2">
    <w:nsid w:val="C77E11D7"/>
    <w:multiLevelType w:val="singleLevel"/>
    <w:tmpl w:val="C77E11D7"/>
    <w:lvl w:ilvl="0" w:tentative="0">
      <w:start w:val="1"/>
      <w:numFmt w:val="decimal"/>
      <w:suff w:val="nothing"/>
      <w:lvlText w:val="%1．"/>
      <w:lvlJc w:val="left"/>
      <w:pPr>
        <w:ind w:left="0" w:firstLine="400"/>
      </w:pPr>
      <w:rPr>
        <w:rFonts w:hint="default"/>
      </w:rPr>
    </w:lvl>
  </w:abstractNum>
  <w:abstractNum w:abstractNumId="3">
    <w:nsid w:val="FA4219BD"/>
    <w:multiLevelType w:val="multilevel"/>
    <w:tmpl w:val="FA4219B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4">
    <w:nsid w:val="007F8704"/>
    <w:multiLevelType w:val="singleLevel"/>
    <w:tmpl w:val="007F8704"/>
    <w:lvl w:ilvl="0" w:tentative="0">
      <w:start w:val="1"/>
      <w:numFmt w:val="decimal"/>
      <w:suff w:val="nothing"/>
      <w:lvlText w:val="%1．"/>
      <w:lvlJc w:val="left"/>
      <w:pPr>
        <w:ind w:left="0" w:firstLine="400"/>
      </w:pPr>
      <w:rPr>
        <w:rFonts w:hint="default"/>
      </w:rPr>
    </w:lvl>
  </w:abstractNum>
  <w:abstractNum w:abstractNumId="5">
    <w:nsid w:val="09926981"/>
    <w:multiLevelType w:val="singleLevel"/>
    <w:tmpl w:val="09926981"/>
    <w:lvl w:ilvl="0" w:tentative="0">
      <w:start w:val="1"/>
      <w:numFmt w:val="decimal"/>
      <w:suff w:val="nothing"/>
      <w:lvlText w:val="%1．"/>
      <w:lvlJc w:val="left"/>
      <w:pPr>
        <w:ind w:left="0" w:firstLine="400"/>
      </w:pPr>
      <w:rPr>
        <w:rFonts w:hint="default"/>
      </w:rPr>
    </w:lvl>
  </w:abstractNum>
  <w:abstractNum w:abstractNumId="6">
    <w:nsid w:val="184CD9A6"/>
    <w:multiLevelType w:val="singleLevel"/>
    <w:tmpl w:val="184CD9A6"/>
    <w:lvl w:ilvl="0" w:tentative="0">
      <w:start w:val="1"/>
      <w:numFmt w:val="decimal"/>
      <w:suff w:val="nothing"/>
      <w:lvlText w:val="%1．"/>
      <w:lvlJc w:val="left"/>
      <w:pPr>
        <w:ind w:left="0" w:firstLine="400"/>
      </w:pPr>
      <w:rPr>
        <w:rFonts w:hint="default"/>
      </w:rPr>
    </w:lvl>
  </w:abstractNum>
  <w:abstractNum w:abstractNumId="7">
    <w:nsid w:val="5649A380"/>
    <w:multiLevelType w:val="singleLevel"/>
    <w:tmpl w:val="5649A380"/>
    <w:lvl w:ilvl="0" w:tentative="0">
      <w:start w:val="1"/>
      <w:numFmt w:val="decimal"/>
      <w:lvlText w:val="%1."/>
      <w:lvlJc w:val="left"/>
      <w:pPr>
        <w:ind w:left="425" w:hanging="425"/>
      </w:pPr>
      <w:rPr>
        <w:rFonts w:hint="default"/>
      </w:rPr>
    </w:lvl>
  </w:abstractNum>
  <w:abstractNum w:abstractNumId="8">
    <w:nsid w:val="67963C80"/>
    <w:multiLevelType w:val="singleLevel"/>
    <w:tmpl w:val="67963C80"/>
    <w:lvl w:ilvl="0" w:tentative="0">
      <w:start w:val="1"/>
      <w:numFmt w:val="decimal"/>
      <w:suff w:val="nothing"/>
      <w:lvlText w:val="%1．"/>
      <w:lvlJc w:val="left"/>
      <w:pPr>
        <w:ind w:left="0" w:firstLine="400"/>
      </w:pPr>
      <w:rPr>
        <w:rFonts w:hint="default"/>
      </w:rPr>
    </w:lvl>
  </w:abstractNum>
  <w:abstractNum w:abstractNumId="9">
    <w:nsid w:val="6ADA772F"/>
    <w:multiLevelType w:val="singleLevel"/>
    <w:tmpl w:val="6ADA772F"/>
    <w:lvl w:ilvl="0" w:tentative="0">
      <w:start w:val="1"/>
      <w:numFmt w:val="decimal"/>
      <w:suff w:val="nothing"/>
      <w:lvlText w:val="%1．"/>
      <w:lvlJc w:val="left"/>
      <w:pPr>
        <w:ind w:left="0" w:firstLine="400"/>
      </w:pPr>
      <w:rPr>
        <w:rFonts w:hint="default"/>
      </w:rPr>
    </w:lvl>
  </w:abstractNum>
  <w:num w:numId="1">
    <w:abstractNumId w:val="3"/>
  </w:num>
  <w:num w:numId="2">
    <w:abstractNumId w:val="2"/>
  </w:num>
  <w:num w:numId="3">
    <w:abstractNumId w:val="8"/>
  </w:num>
  <w:num w:numId="4">
    <w:abstractNumId w:val="5"/>
  </w:num>
  <w:num w:numId="5">
    <w:abstractNumId w:val="7"/>
  </w:num>
  <w:num w:numId="6">
    <w:abstractNumId w:val="6"/>
  </w:num>
  <w:num w:numId="7">
    <w:abstractNumId w:val="9"/>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D00EC8"/>
    <w:rsid w:val="00276E33"/>
    <w:rsid w:val="003E6AFB"/>
    <w:rsid w:val="00950D56"/>
    <w:rsid w:val="00C341CD"/>
    <w:rsid w:val="00FA5273"/>
    <w:rsid w:val="01260E98"/>
    <w:rsid w:val="027A4284"/>
    <w:rsid w:val="031C69F7"/>
    <w:rsid w:val="0341645D"/>
    <w:rsid w:val="03EC63C9"/>
    <w:rsid w:val="048760F2"/>
    <w:rsid w:val="04A230D9"/>
    <w:rsid w:val="05575AC4"/>
    <w:rsid w:val="0595291C"/>
    <w:rsid w:val="05C0366A"/>
    <w:rsid w:val="05DB4947"/>
    <w:rsid w:val="05E530D0"/>
    <w:rsid w:val="069B1436"/>
    <w:rsid w:val="071874D5"/>
    <w:rsid w:val="087B5F6E"/>
    <w:rsid w:val="08B52DEA"/>
    <w:rsid w:val="0A6A2C79"/>
    <w:rsid w:val="0DDA1988"/>
    <w:rsid w:val="0DE411AF"/>
    <w:rsid w:val="0E8D07A9"/>
    <w:rsid w:val="0EFD30DE"/>
    <w:rsid w:val="0EFF16A6"/>
    <w:rsid w:val="0F7F00F1"/>
    <w:rsid w:val="0F9022FF"/>
    <w:rsid w:val="107E484D"/>
    <w:rsid w:val="11C93F17"/>
    <w:rsid w:val="12EB3CF0"/>
    <w:rsid w:val="13A22600"/>
    <w:rsid w:val="13D00EC8"/>
    <w:rsid w:val="13EE325E"/>
    <w:rsid w:val="152A0AFF"/>
    <w:rsid w:val="16013F56"/>
    <w:rsid w:val="16025362"/>
    <w:rsid w:val="17143815"/>
    <w:rsid w:val="174340FA"/>
    <w:rsid w:val="17AD5A18"/>
    <w:rsid w:val="18517EA8"/>
    <w:rsid w:val="1A085187"/>
    <w:rsid w:val="1A562397"/>
    <w:rsid w:val="1B9B4505"/>
    <w:rsid w:val="1C1D13BE"/>
    <w:rsid w:val="1CA05B4B"/>
    <w:rsid w:val="1CFC7225"/>
    <w:rsid w:val="1E544E3F"/>
    <w:rsid w:val="1E5862E5"/>
    <w:rsid w:val="1EE61F3B"/>
    <w:rsid w:val="1F4D1FBA"/>
    <w:rsid w:val="1F61575D"/>
    <w:rsid w:val="2011123A"/>
    <w:rsid w:val="209E0592"/>
    <w:rsid w:val="20DD55C0"/>
    <w:rsid w:val="21ED35E0"/>
    <w:rsid w:val="22121299"/>
    <w:rsid w:val="22872EE9"/>
    <w:rsid w:val="231F7CDE"/>
    <w:rsid w:val="2412175E"/>
    <w:rsid w:val="27554102"/>
    <w:rsid w:val="27716A62"/>
    <w:rsid w:val="2A7F7750"/>
    <w:rsid w:val="2A9C3DF6"/>
    <w:rsid w:val="2AD76BDC"/>
    <w:rsid w:val="2E903C71"/>
    <w:rsid w:val="2F1317D3"/>
    <w:rsid w:val="2F9C6646"/>
    <w:rsid w:val="2FD5030D"/>
    <w:rsid w:val="33450900"/>
    <w:rsid w:val="33C00B55"/>
    <w:rsid w:val="3565547E"/>
    <w:rsid w:val="369E5D8A"/>
    <w:rsid w:val="36C47A0C"/>
    <w:rsid w:val="37CE75B8"/>
    <w:rsid w:val="38080C91"/>
    <w:rsid w:val="38337438"/>
    <w:rsid w:val="385201EA"/>
    <w:rsid w:val="392E6561"/>
    <w:rsid w:val="39981C2C"/>
    <w:rsid w:val="3A865F28"/>
    <w:rsid w:val="3AB807D8"/>
    <w:rsid w:val="3B984165"/>
    <w:rsid w:val="3C4F53AD"/>
    <w:rsid w:val="3C957F4E"/>
    <w:rsid w:val="3D1141E0"/>
    <w:rsid w:val="3D4A148F"/>
    <w:rsid w:val="3E2E0DB1"/>
    <w:rsid w:val="3EBC016B"/>
    <w:rsid w:val="3F0730E7"/>
    <w:rsid w:val="3FE756BB"/>
    <w:rsid w:val="4024421A"/>
    <w:rsid w:val="41B4781F"/>
    <w:rsid w:val="420460B1"/>
    <w:rsid w:val="432307B8"/>
    <w:rsid w:val="43994F1E"/>
    <w:rsid w:val="464E104B"/>
    <w:rsid w:val="4662784A"/>
    <w:rsid w:val="47E32C0C"/>
    <w:rsid w:val="491A265E"/>
    <w:rsid w:val="4A5E5679"/>
    <w:rsid w:val="4AD646BD"/>
    <w:rsid w:val="4B157580"/>
    <w:rsid w:val="4BD20FCE"/>
    <w:rsid w:val="4C5B5467"/>
    <w:rsid w:val="4D241CFD"/>
    <w:rsid w:val="4DB45F5E"/>
    <w:rsid w:val="4E3A10AC"/>
    <w:rsid w:val="4FD712A8"/>
    <w:rsid w:val="50106568"/>
    <w:rsid w:val="50F25C6E"/>
    <w:rsid w:val="516F72BF"/>
    <w:rsid w:val="51B86EB8"/>
    <w:rsid w:val="52D715BF"/>
    <w:rsid w:val="53073C53"/>
    <w:rsid w:val="535A3AA7"/>
    <w:rsid w:val="549B0D67"/>
    <w:rsid w:val="549F7EBB"/>
    <w:rsid w:val="54EA382C"/>
    <w:rsid w:val="5661367A"/>
    <w:rsid w:val="56BF4844"/>
    <w:rsid w:val="57315742"/>
    <w:rsid w:val="5801559F"/>
    <w:rsid w:val="58310823"/>
    <w:rsid w:val="596F71AD"/>
    <w:rsid w:val="597C6A1D"/>
    <w:rsid w:val="59B85CA7"/>
    <w:rsid w:val="59E56370"/>
    <w:rsid w:val="5A84202D"/>
    <w:rsid w:val="5AA13D98"/>
    <w:rsid w:val="5BD26DC8"/>
    <w:rsid w:val="5CCD7CBB"/>
    <w:rsid w:val="5E1B6804"/>
    <w:rsid w:val="5E7B72A3"/>
    <w:rsid w:val="603E4A2C"/>
    <w:rsid w:val="60870181"/>
    <w:rsid w:val="612B3202"/>
    <w:rsid w:val="61DA0220"/>
    <w:rsid w:val="625B18C5"/>
    <w:rsid w:val="62C53DE4"/>
    <w:rsid w:val="630450F4"/>
    <w:rsid w:val="64DB6072"/>
    <w:rsid w:val="658910D4"/>
    <w:rsid w:val="662B7800"/>
    <w:rsid w:val="69C77840"/>
    <w:rsid w:val="6A253BE6"/>
    <w:rsid w:val="6A793230"/>
    <w:rsid w:val="6AF91093"/>
    <w:rsid w:val="6B231251"/>
    <w:rsid w:val="6B654374"/>
    <w:rsid w:val="6B730171"/>
    <w:rsid w:val="6BC32289"/>
    <w:rsid w:val="6D284A9A"/>
    <w:rsid w:val="6E5C0E9F"/>
    <w:rsid w:val="6EB34837"/>
    <w:rsid w:val="6F0B6421"/>
    <w:rsid w:val="6F5C0A2B"/>
    <w:rsid w:val="6F7C731F"/>
    <w:rsid w:val="702A28D7"/>
    <w:rsid w:val="704936A5"/>
    <w:rsid w:val="709B37D5"/>
    <w:rsid w:val="70E31834"/>
    <w:rsid w:val="73035DD8"/>
    <w:rsid w:val="73261A7B"/>
    <w:rsid w:val="73DC65DE"/>
    <w:rsid w:val="756B19C7"/>
    <w:rsid w:val="75C86E1A"/>
    <w:rsid w:val="765B565C"/>
    <w:rsid w:val="77B2066E"/>
    <w:rsid w:val="790A599B"/>
    <w:rsid w:val="798219D5"/>
    <w:rsid w:val="7A0F3269"/>
    <w:rsid w:val="7B34229F"/>
    <w:rsid w:val="7C174657"/>
    <w:rsid w:val="7C432B6A"/>
    <w:rsid w:val="7C72188D"/>
    <w:rsid w:val="7C9E6B26"/>
    <w:rsid w:val="7E417769"/>
    <w:rsid w:val="7EF96296"/>
    <w:rsid w:val="7F5C7D1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numPr>
        <w:ilvl w:val="0"/>
        <w:numId w:val="1"/>
      </w:numPr>
      <w:adjustRightInd/>
      <w:spacing w:before="50" w:beforeLines="50" w:after="50" w:afterLines="50" w:line="480" w:lineRule="auto"/>
      <w:ind w:left="432" w:hanging="432"/>
      <w:outlineLvl w:val="0"/>
    </w:pPr>
    <w:rPr>
      <w:rFonts w:ascii="Calibri" w:hAnsi="Calibri"/>
      <w:b/>
      <w:kern w:val="44"/>
      <w:sz w:val="36"/>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unhideWhenUsed/>
    <w:uiPriority w:val="1"/>
  </w:style>
  <w:style w:type="table" w:default="1" w:styleId="13">
    <w:name w:val="Normal Table"/>
    <w:unhideWhenUsed/>
    <w:uiPriority w:val="99"/>
    <w:tblPr>
      <w:tblStyle w:val="13"/>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rPr>
  </w:style>
  <w:style w:type="paragraph" w:styleId="12">
    <w:name w:val="header"/>
    <w:basedOn w:val="1"/>
    <w:link w:val="16"/>
    <w:uiPriority w:val="0"/>
    <w:pPr>
      <w:tabs>
        <w:tab w:val="center" w:pos="4153"/>
        <w:tab w:val="right" w:pos="8306"/>
      </w:tabs>
      <w:snapToGrid w:val="0"/>
      <w:jc w:val="center"/>
    </w:pPr>
    <w:rPr>
      <w:sz w:val="18"/>
      <w:szCs w:val="18"/>
    </w:rPr>
  </w:style>
  <w:style w:type="table" w:styleId="14">
    <w:name w:val="Table Grid"/>
    <w:basedOn w:val="13"/>
    <w:uiPriority w:val="0"/>
    <w:pPr>
      <w:widowControl w:val="0"/>
      <w:jc w:val="both"/>
    </w:pPr>
    <w:tblPr>
      <w:tblStyle w:val="1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页眉 字符"/>
    <w:link w:val="1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8981</Words>
  <Characters>9512</Characters>
  <Lines>79</Lines>
  <Paragraphs>22</Paragraphs>
  <TotalTime>7</TotalTime>
  <ScaleCrop>false</ScaleCrop>
  <LinksUpToDate>false</LinksUpToDate>
  <CharactersWithSpaces>9605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2024-11-28T10:42:00Z</dcterms:created>
  <dc:creator>徐世涛</dc:creator>
  <cp:lastModifiedBy>小岳岳</cp:lastModifiedBy>
  <dcterms:modified xsi:type="dcterms:W3CDTF">2024-12-14T12:29:50Z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6D730A2C31124E93A105B9C287E7F95E_13</vt:lpwstr>
  </property>
</Properties>
</file>