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2286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657225"/>
                    </a:xfrm>
                    <a:prstGeom prst="rect">
                      <a:avLst/>
                    </a:prstGeom>
                  </pic:spPr>
                </pic:pic>
              </a:graphicData>
            </a:graphic>
          </wp:inline>
        </w:drawing>
      </w:r>
    </w:p>
    <w:p>
      <w:pPr>
        <w:spacing w:after="0" w:before="500"/>
        <w:jc w:val="center"/>
      </w:pPr>
      <w:r>
        <w:rPr>
          <w:rFonts w:ascii="Calibri" w:cs="Calibri" w:eastAsia="Calibri" w:hAnsi="Calibri"/>
          <w:b/>
          <w:bCs/>
          <w:color w:val="005299"/>
          <w:sz w:val="72"/>
          <w:szCs w:val="72"/>
        </w:rPr>
        <w:t xml:space="preserve">VIGIE</w:t>
      </w:r>
    </w:p>
    <w:p>
      <w:pPr>
        <w:spacing w:after="0" w:before="160"/>
        <w:jc w:val="center"/>
      </w:pPr>
      <w:r>
        <w:rPr>
          <w:rFonts w:ascii="Calibri" w:cs="Calibri" w:eastAsia="Calibri" w:hAnsi="Calibri"/>
          <w:color w:val="475569"/>
          <w:sz w:val="30"/>
          <w:szCs w:val="30"/>
        </w:rPr>
        <w:t xml:space="preserve">Gestion et suivi des demandes d'achat</w:t>
      </w:r>
    </w:p>
    <w:p>
      <w:pPr>
        <w:spacing w:after="0" w:before="40"/>
        <w:jc w:val="center"/>
      </w:pPr>
      <w:r>
        <w:rPr>
          <w:rFonts w:ascii="Calibri" w:cs="Calibri" w:eastAsia="Calibri" w:hAnsi="Calibri"/>
          <w:color w:val="475569"/>
          <w:sz w:val="24"/>
          <w:szCs w:val="24"/>
        </w:rPr>
        <w:t xml:space="preserve">Grand Port Maritime de Marseille</w:t>
      </w:r>
    </w:p>
    <w:p>
      <w:pPr>
        <w:pBdr>
          <w:top w:val="single" w:color="D8E0E8" w:sz="4" w:space="8"/>
        </w:pBdr>
        <w:spacing w:before="900"/>
        <w:jc w:val="center"/>
      </w:pPr>
    </w:p>
    <w:p>
      <w:pPr>
        <w:spacing w:before="200"/>
        <w:jc w:val="center"/>
      </w:pPr>
      <w:r>
        <w:rPr>
          <w:rFonts w:ascii="Calibri" w:cs="Calibri" w:eastAsia="Calibri" w:hAnsi="Calibri"/>
          <w:b/>
          <w:bCs/>
          <w:color w:val="1E293B"/>
          <w:sz w:val="22"/>
          <w:szCs w:val="22"/>
        </w:rPr>
        <w:t xml:space="preserve">Plaquette de présentation</w:t>
      </w:r>
    </w:p>
    <w:p>
      <w:pPr>
        <w:jc w:val="center"/>
      </w:pPr>
      <w:r>
        <w:rPr>
          <w:rFonts w:ascii="Calibri" w:cs="Calibri" w:eastAsia="Calibri" w:hAnsi="Calibri"/>
          <w:color w:val="475569"/>
          <w:sz w:val="20"/>
          <w:szCs w:val="20"/>
        </w:rPr>
        <w:t xml:space="preserve">Septembre 2026</w:t>
      </w:r>
    </w:p>
    <w:p>
      <w:r>
        <w:br w:type="page"/>
      </w:r>
    </w:p>
    <w:p>
      <w:pPr>
        <w:pStyle w:val="Heading1"/>
        <w:pBdr>
          <w:bottom w:val="single" w:color="005299" w:sz="6" w:space="4"/>
        </w:pBdr>
        <w:spacing w:after="160" w:before="200"/>
      </w:pPr>
      <w:r>
        <w:rPr>
          <w:rFonts w:ascii="Calibri" w:cs="Calibri" w:eastAsia="Calibri" w:hAnsi="Calibri"/>
          <w:b/>
          <w:bCs/>
          <w:color w:val="005299"/>
          <w:sz w:val="30"/>
          <w:szCs w:val="30"/>
        </w:rPr>
        <w:t xml:space="preserve">VIGIE en un coup d'œil</w:t>
      </w:r>
    </w:p>
    <w:p>
      <w:pPr>
        <w:spacing w:after="120"/>
      </w:pPr>
      <w:r>
        <w:rPr>
          <w:rFonts w:ascii="Calibri" w:cs="Calibri" w:eastAsia="Calibri" w:hAnsi="Calibri"/>
          <w:color w:val="1E293B"/>
          <w:sz w:val="21"/>
          <w:szCs w:val="21"/>
        </w:rPr>
        <w:t xml:space="preserve">VIGIE accompagne l'ensemble du cycle d'achat du GPMM : de la demande initiale d'un agent jusqu'à la commande, puis jusqu'au constat du service fait. L'application organise ce parcours autour de quatre principes.</w:t>
      </w:r>
    </w:p>
    <w:p>
      <w:pPr>
        <w:pStyle w:val="ListParagraph"/>
        <w:numPr>
          <w:ilvl w:val="0"/>
          <w:numId w:val="2"/>
        </w:numPr>
        <w:spacing w:after="60"/>
      </w:pPr>
      <w:r>
        <w:rPr>
          <w:rFonts w:ascii="Calibri" w:cs="Calibri" w:eastAsia="Calibri" w:hAnsi="Calibri"/>
          <w:b/>
          <w:bCs/>
          <w:color w:val="1E293B"/>
          <w:sz w:val="21"/>
          <w:szCs w:val="21"/>
        </w:rPr>
        <w:t xml:space="preserve">Un circuit structuré</w:t>
      </w:r>
      <w:r>
        <w:rPr>
          <w:rFonts w:ascii="Calibri" w:cs="Calibri" w:eastAsia="Calibri" w:hAnsi="Calibri"/>
          <w:color w:val="1E293B"/>
          <w:sz w:val="21"/>
          <w:szCs w:val="21"/>
        </w:rPr>
        <w:t xml:space="preserve"> — chaque demande suit un circuit de validation à plusieurs niveaux, avec un contrôle budgétaire systématique avant commande</w:t>
      </w:r>
    </w:p>
    <w:p>
      <w:pPr>
        <w:pStyle w:val="ListParagraph"/>
        <w:numPr>
          <w:ilvl w:val="0"/>
          <w:numId w:val="2"/>
        </w:numPr>
        <w:spacing w:after="60"/>
      </w:pPr>
      <w:r>
        <w:rPr>
          <w:rFonts w:ascii="Calibri" w:cs="Calibri" w:eastAsia="Calibri" w:hAnsi="Calibri"/>
          <w:b/>
          <w:bCs/>
          <w:color w:val="1E293B"/>
          <w:sz w:val="21"/>
          <w:szCs w:val="21"/>
        </w:rPr>
        <w:t xml:space="preserve">Des rôles clairement définis</w:t>
      </w:r>
      <w:r>
        <w:rPr>
          <w:rFonts w:ascii="Calibri" w:cs="Calibri" w:eastAsia="Calibri" w:hAnsi="Calibri"/>
          <w:color w:val="1E293B"/>
          <w:sz w:val="21"/>
          <w:szCs w:val="21"/>
        </w:rPr>
        <w:t xml:space="preserve"> — chaque acteur n'intervient que sur son propre périmètre (sa cellule, son service ou sa direction) et ne voit que ce qui le concerne</w:t>
      </w:r>
    </w:p>
    <w:p>
      <w:pPr>
        <w:pStyle w:val="ListParagraph"/>
        <w:numPr>
          <w:ilvl w:val="0"/>
          <w:numId w:val="2"/>
        </w:numPr>
        <w:spacing w:after="60"/>
      </w:pPr>
      <w:r>
        <w:rPr>
          <w:rFonts w:ascii="Calibri" w:cs="Calibri" w:eastAsia="Calibri" w:hAnsi="Calibri"/>
          <w:b/>
          <w:bCs/>
          <w:color w:val="1E293B"/>
          <w:sz w:val="21"/>
          <w:szCs w:val="21"/>
        </w:rPr>
        <w:t xml:space="preserve">Une traçabilité complète</w:t>
      </w:r>
      <w:r>
        <w:rPr>
          <w:rFonts w:ascii="Calibri" w:cs="Calibri" w:eastAsia="Calibri" w:hAnsi="Calibri"/>
          <w:color w:val="1E293B"/>
          <w:sz w:val="21"/>
          <w:szCs w:val="21"/>
        </w:rPr>
        <w:t xml:space="preserve"> — chaque changement d'état est daté, tracé et consultable dans l'historique de la demande — y compris les actions réalisées en suppléance</w:t>
      </w:r>
    </w:p>
    <w:p>
      <w:pPr>
        <w:pStyle w:val="ListParagraph"/>
        <w:numPr>
          <w:ilvl w:val="0"/>
          <w:numId w:val="2"/>
        </w:numPr>
        <w:spacing w:after="60"/>
      </w:pPr>
      <w:r>
        <w:rPr>
          <w:rFonts w:ascii="Calibri" w:cs="Calibri" w:eastAsia="Calibri" w:hAnsi="Calibri"/>
          <w:b/>
          <w:bCs/>
          <w:color w:val="1E293B"/>
          <w:sz w:val="21"/>
          <w:szCs w:val="21"/>
        </w:rPr>
        <w:t xml:space="preserve">Des données synchronisées avec le PGI</w:t>
      </w:r>
      <w:r>
        <w:rPr>
          <w:rFonts w:ascii="Calibri" w:cs="Calibri" w:eastAsia="Calibri" w:hAnsi="Calibri"/>
          <w:color w:val="1E293B"/>
          <w:sz w:val="21"/>
          <w:szCs w:val="21"/>
        </w:rPr>
        <w:t xml:space="preserve"> — les référentiels marchés, commandes et investissements sont alimentés directement depuis le PGI, sans ressaisie manuelle</w:t>
      </w:r>
    </w:p>
    <w:p>
      <w:pPr>
        <w:spacing w:after="140" w:before="2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30"/>
        <w:gridCol w:w="160"/>
        <w:gridCol w:w="2230"/>
        <w:gridCol w:w="160"/>
        <w:gridCol w:w="2230"/>
        <w:gridCol w:w="160"/>
        <w:gridCol w:w="2230"/>
      </w:tblGrid>
      <w:tr>
        <w:tc>
          <w:tcPr>
            <w:tcW w:type="dxa" w:w="2230"/>
            <w:tcBorders>
              <w:top w:val="none" w:color="FFFFFF" w:sz="0"/>
              <w:left w:val="none" w:color="FFFFFF" w:sz="0"/>
              <w:bottom w:val="single" w:color="005299" w:sz="16"/>
              <w:right w:val="none" w:color="FFFFFF" w:sz="0"/>
            </w:tcBorders>
            <w:shd w:fill="EAF1F8" w:color="auto" w:val="clear"/>
            <w:tcMar>
              <w:top w:type="dxa" w:w="160"/>
              <w:left w:type="dxa" w:w="100"/>
              <w:bottom w:type="dxa" w:w="160"/>
              <w:right w:type="dxa" w:w="100"/>
            </w:tcMar>
          </w:tcPr>
          <w:p>
            <w:pPr>
              <w:spacing w:after="30"/>
              <w:jc w:val="center"/>
            </w:pPr>
            <w:r>
              <w:rPr>
                <w:rFonts w:ascii="Calibri" w:cs="Calibri" w:eastAsia="Calibri" w:hAnsi="Calibri"/>
                <w:b/>
                <w:bCs/>
                <w:color w:val="005299"/>
                <w:sz w:val="44"/>
                <w:szCs w:val="44"/>
              </w:rPr>
              <w:t xml:space="preserve">7</w:t>
            </w:r>
          </w:p>
          <w:p>
            <w:pPr>
              <w:jc w:val="center"/>
            </w:pPr>
            <w:r>
              <w:rPr>
                <w:rFonts w:ascii="Calibri" w:cs="Calibri" w:eastAsia="Calibri" w:hAnsi="Calibri"/>
                <w:color w:val="475569"/>
                <w:sz w:val="17"/>
                <w:szCs w:val="17"/>
              </w:rPr>
              <w:t xml:space="preserve">rôles applicatifs</w:t>
            </w:r>
          </w:p>
        </w:tc>
        <w:tc>
          <w:tcPr>
            <w:tcW w:type="dxa" w:w="160"/>
            <w:tcBorders>
              <w:top w:val="none" w:color="FFFFFF" w:sz="0"/>
              <w:left w:val="none" w:color="FFFFFF" w:sz="0"/>
              <w:bottom w:val="none" w:color="FFFFFF" w:sz="0"/>
              <w:right w:val="none" w:color="FFFFFF" w:sz="0"/>
            </w:tcBorders>
          </w:tcPr>
          <w:p/>
        </w:tc>
        <w:tc>
          <w:tcPr>
            <w:tcW w:type="dxa" w:w="2230"/>
            <w:tcBorders>
              <w:top w:val="none" w:color="FFFFFF" w:sz="0"/>
              <w:left w:val="none" w:color="FFFFFF" w:sz="0"/>
              <w:bottom w:val="single" w:color="005299" w:sz="16"/>
              <w:right w:val="none" w:color="FFFFFF" w:sz="0"/>
            </w:tcBorders>
            <w:shd w:fill="EAF1F8" w:color="auto" w:val="clear"/>
            <w:tcMar>
              <w:top w:type="dxa" w:w="160"/>
              <w:left w:type="dxa" w:w="100"/>
              <w:bottom w:type="dxa" w:w="160"/>
              <w:right w:type="dxa" w:w="100"/>
            </w:tcMar>
          </w:tcPr>
          <w:p>
            <w:pPr>
              <w:spacing w:after="30"/>
              <w:jc w:val="center"/>
            </w:pPr>
            <w:r>
              <w:rPr>
                <w:rFonts w:ascii="Calibri" w:cs="Calibri" w:eastAsia="Calibri" w:hAnsi="Calibri"/>
                <w:b/>
                <w:bCs/>
                <w:color w:val="005299"/>
                <w:sz w:val="44"/>
                <w:szCs w:val="44"/>
              </w:rPr>
              <w:t xml:space="preserve">25</w:t>
            </w:r>
          </w:p>
          <w:p>
            <w:pPr>
              <w:jc w:val="center"/>
            </w:pPr>
            <w:r>
              <w:rPr>
                <w:rFonts w:ascii="Calibri" w:cs="Calibri" w:eastAsia="Calibri" w:hAnsi="Calibri"/>
                <w:color w:val="475569"/>
                <w:sz w:val="17"/>
                <w:szCs w:val="17"/>
              </w:rPr>
              <w:t xml:space="preserve">statuts de suivi</w:t>
            </w:r>
          </w:p>
        </w:tc>
        <w:tc>
          <w:tcPr>
            <w:tcW w:type="dxa" w:w="160"/>
            <w:tcBorders>
              <w:top w:val="none" w:color="FFFFFF" w:sz="0"/>
              <w:left w:val="none" w:color="FFFFFF" w:sz="0"/>
              <w:bottom w:val="none" w:color="FFFFFF" w:sz="0"/>
              <w:right w:val="none" w:color="FFFFFF" w:sz="0"/>
            </w:tcBorders>
          </w:tcPr>
          <w:p/>
        </w:tc>
        <w:tc>
          <w:tcPr>
            <w:tcW w:type="dxa" w:w="2230"/>
            <w:tcBorders>
              <w:top w:val="none" w:color="FFFFFF" w:sz="0"/>
              <w:left w:val="none" w:color="FFFFFF" w:sz="0"/>
              <w:bottom w:val="single" w:color="005299" w:sz="16"/>
              <w:right w:val="none" w:color="FFFFFF" w:sz="0"/>
            </w:tcBorders>
            <w:shd w:fill="EAF1F8" w:color="auto" w:val="clear"/>
            <w:tcMar>
              <w:top w:type="dxa" w:w="160"/>
              <w:left w:type="dxa" w:w="100"/>
              <w:bottom w:type="dxa" w:w="160"/>
              <w:right w:type="dxa" w:w="100"/>
            </w:tcMar>
          </w:tcPr>
          <w:p>
            <w:pPr>
              <w:spacing w:after="30"/>
              <w:jc w:val="center"/>
            </w:pPr>
            <w:r>
              <w:rPr>
                <w:rFonts w:ascii="Calibri" w:cs="Calibri" w:eastAsia="Calibri" w:hAnsi="Calibri"/>
                <w:b/>
                <w:bCs/>
                <w:color w:val="005299"/>
                <w:sz w:val="44"/>
                <w:szCs w:val="44"/>
              </w:rPr>
              <w:t xml:space="preserve">3</w:t>
            </w:r>
          </w:p>
          <w:p>
            <w:pPr>
              <w:jc w:val="center"/>
            </w:pPr>
            <w:r>
              <w:rPr>
                <w:rFonts w:ascii="Calibri" w:cs="Calibri" w:eastAsia="Calibri" w:hAnsi="Calibri"/>
                <w:color w:val="475569"/>
                <w:sz w:val="17"/>
                <w:szCs w:val="17"/>
              </w:rPr>
              <w:t xml:space="preserve">imports PGI automatisés</w:t>
            </w:r>
          </w:p>
        </w:tc>
        <w:tc>
          <w:tcPr>
            <w:tcW w:type="dxa" w:w="160"/>
            <w:tcBorders>
              <w:top w:val="none" w:color="FFFFFF" w:sz="0"/>
              <w:left w:val="none" w:color="FFFFFF" w:sz="0"/>
              <w:bottom w:val="none" w:color="FFFFFF" w:sz="0"/>
              <w:right w:val="none" w:color="FFFFFF" w:sz="0"/>
            </w:tcBorders>
          </w:tcPr>
          <w:p/>
        </w:tc>
        <w:tc>
          <w:tcPr>
            <w:tcW w:type="dxa" w:w="2230"/>
            <w:tcBorders>
              <w:top w:val="none" w:color="FFFFFF" w:sz="0"/>
              <w:left w:val="none" w:color="FFFFFF" w:sz="0"/>
              <w:bottom w:val="single" w:color="005299" w:sz="16"/>
              <w:right w:val="none" w:color="FFFFFF" w:sz="0"/>
            </w:tcBorders>
            <w:shd w:fill="EAF1F8" w:color="auto" w:val="clear"/>
            <w:tcMar>
              <w:top w:type="dxa" w:w="160"/>
              <w:left w:type="dxa" w:w="100"/>
              <w:bottom w:type="dxa" w:w="160"/>
              <w:right w:type="dxa" w:w="100"/>
            </w:tcMar>
          </w:tcPr>
          <w:p>
            <w:pPr>
              <w:spacing w:after="30"/>
              <w:jc w:val="center"/>
            </w:pPr>
            <w:r>
              <w:rPr>
                <w:rFonts w:ascii="Calibri" w:cs="Calibri" w:eastAsia="Calibri" w:hAnsi="Calibri"/>
                <w:b/>
                <w:bCs/>
                <w:color w:val="005299"/>
                <w:sz w:val="44"/>
                <w:szCs w:val="44"/>
              </w:rPr>
              <w:t xml:space="preserve">100%</w:t>
            </w:r>
          </w:p>
          <w:p>
            <w:pPr>
              <w:jc w:val="center"/>
            </w:pPr>
            <w:r>
              <w:rPr>
                <w:rFonts w:ascii="Calibri" w:cs="Calibri" w:eastAsia="Calibri" w:hAnsi="Calibri"/>
                <w:color w:val="475569"/>
                <w:sz w:val="17"/>
                <w:szCs w:val="17"/>
              </w:rPr>
              <w:t xml:space="preserve">actions tracées et datées</w:t>
            </w:r>
          </w:p>
        </w:tc>
      </w:tr>
    </w:tbl>
    <w:p>
      <w:pPr>
        <w:spacing w:after="100" w:before="320"/>
      </w:pPr>
      <w:r>
        <w:rPr>
          <w:rFonts w:ascii="Calibri" w:cs="Calibri" w:eastAsia="Calibri" w:hAnsi="Calibri"/>
          <w:b/>
          <w:bCs/>
          <w:color w:val="013F76"/>
          <w:sz w:val="22"/>
          <w:szCs w:val="22"/>
        </w:rPr>
        <w:t xml:space="preserve">Les quatre grandes étapes du cycle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600"/>
      </w:tblGrid>
      <w:tr>
        <w:trPr>
          <w:tblHeader/>
        </w:trPr>
        <w:tc>
          <w:tcPr>
            <w:tcW w:type="dxa" w:w="17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Étape</w:t>
            </w:r>
          </w:p>
        </w:tc>
        <w:tc>
          <w:tcPr>
            <w:tcW w:type="dxa" w:w="24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Porté par</w:t>
            </w:r>
          </w:p>
        </w:tc>
        <w:tc>
          <w:tcPr>
            <w:tcW w:type="dxa" w:w="56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Objet</w:t>
            </w:r>
          </w:p>
        </w:tc>
      </w:tr>
      <w:tr>
        <w:tc>
          <w:tcPr>
            <w:tcW w:type="dxa" w:w="1700"/>
            <w:tcMar>
              <w:top w:type="dxa" w:w="90"/>
              <w:left w:type="dxa" w:w="110"/>
              <w:bottom w:type="dxa" w:w="90"/>
              <w:right w:type="dxa" w:w="110"/>
            </w:tcMar>
            <w:vAlign w:val="center"/>
          </w:tcPr>
          <w:p>
            <w:r>
              <w:rPr>
                <w:rFonts w:ascii="Calibri" w:cs="Calibri" w:eastAsia="Calibri" w:hAnsi="Calibri"/>
                <w:color w:val="1E293B"/>
                <w:sz w:val="19"/>
                <w:szCs w:val="19"/>
              </w:rPr>
              <w:t xml:space="preserve">1. Demande</w:t>
            </w:r>
          </w:p>
        </w:tc>
        <w:tc>
          <w:tcPr>
            <w:tcW w:type="dxa" w:w="2400"/>
            <w:tcMar>
              <w:top w:type="dxa" w:w="90"/>
              <w:left w:type="dxa" w:w="110"/>
              <w:bottom w:type="dxa" w:w="90"/>
              <w:right w:type="dxa" w:w="110"/>
            </w:tcMar>
            <w:vAlign w:val="center"/>
          </w:tcPr>
          <w:p>
            <w:r>
              <w:rPr>
                <w:rFonts w:ascii="Calibri" w:cs="Calibri" w:eastAsia="Calibri" w:hAnsi="Calibri"/>
                <w:color w:val="1E293B"/>
                <w:sz w:val="19"/>
                <w:szCs w:val="19"/>
              </w:rPr>
              <w:t xml:space="preserve">Le Demandeur</w:t>
            </w:r>
          </w:p>
        </w:tc>
        <w:tc>
          <w:tcPr>
            <w:tcW w:type="dxa" w:w="5600"/>
            <w:tcMar>
              <w:top w:type="dxa" w:w="90"/>
              <w:left w:type="dxa" w:w="110"/>
              <w:bottom w:type="dxa" w:w="90"/>
              <w:right w:type="dxa" w:w="110"/>
            </w:tcMar>
            <w:vAlign w:val="center"/>
          </w:tcPr>
          <w:p>
            <w:r>
              <w:rPr>
                <w:rFonts w:ascii="Calibri" w:cs="Calibri" w:eastAsia="Calibri" w:hAnsi="Calibri"/>
                <w:color w:val="1E293B"/>
                <w:sz w:val="19"/>
                <w:szCs w:val="19"/>
              </w:rPr>
              <w:t xml:space="preserve">Création de la demande d'achat (DA) et transmission à son responsable de cellule.</w:t>
            </w:r>
          </w:p>
        </w:tc>
      </w:tr>
      <w:tr>
        <w:tc>
          <w:tcPr>
            <w:tcW w:type="dxa" w:w="17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2. Validation</w:t>
            </w:r>
          </w:p>
        </w:tc>
        <w:tc>
          <w:tcPr>
            <w:tcW w:type="dxa" w:w="24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RC · CDS · DS</w:t>
            </w:r>
          </w:p>
        </w:tc>
        <w:tc>
          <w:tcPr>
            <w:tcW w:type="dxa" w:w="56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Contrôle en cascade de la Fiche d'Achat Direct (FAD), sur trois niveaux hiérarchiques.</w:t>
            </w:r>
          </w:p>
        </w:tc>
      </w:tr>
      <w:tr>
        <w:tc>
          <w:tcPr>
            <w:tcW w:type="dxa" w:w="1700"/>
            <w:tcMar>
              <w:top w:type="dxa" w:w="90"/>
              <w:left w:type="dxa" w:w="110"/>
              <w:bottom w:type="dxa" w:w="90"/>
              <w:right w:type="dxa" w:w="110"/>
            </w:tcMar>
            <w:vAlign w:val="center"/>
          </w:tcPr>
          <w:p>
            <w:r>
              <w:rPr>
                <w:rFonts w:ascii="Calibri" w:cs="Calibri" w:eastAsia="Calibri" w:hAnsi="Calibri"/>
                <w:color w:val="1E293B"/>
                <w:sz w:val="19"/>
                <w:szCs w:val="19"/>
              </w:rPr>
              <w:t xml:space="preserve">3. Contrôle budgétaire</w:t>
            </w:r>
          </w:p>
        </w:tc>
        <w:tc>
          <w:tcPr>
            <w:tcW w:type="dxa" w:w="2400"/>
            <w:tcMar>
              <w:top w:type="dxa" w:w="90"/>
              <w:left w:type="dxa" w:w="110"/>
              <w:bottom w:type="dxa" w:w="90"/>
              <w:right w:type="dxa" w:w="110"/>
            </w:tcMar>
            <w:vAlign w:val="center"/>
          </w:tcPr>
          <w:p>
            <w:r>
              <w:rPr>
                <w:rFonts w:ascii="Calibri" w:cs="Calibri" w:eastAsia="Calibri" w:hAnsi="Calibri"/>
                <w:color w:val="1E293B"/>
                <w:sz w:val="19"/>
                <w:szCs w:val="19"/>
              </w:rPr>
              <w:t xml:space="preserve">La Cellule Budgétaire (CB)</w:t>
            </w:r>
          </w:p>
        </w:tc>
        <w:tc>
          <w:tcPr>
            <w:tcW w:type="dxa" w:w="5600"/>
            <w:tcMar>
              <w:top w:type="dxa" w:w="90"/>
              <w:left w:type="dxa" w:w="110"/>
              <w:bottom w:type="dxa" w:w="90"/>
              <w:right w:type="dxa" w:w="110"/>
            </w:tcMar>
            <w:vAlign w:val="center"/>
          </w:tcPr>
          <w:p>
            <w:r>
              <w:rPr>
                <w:rFonts w:ascii="Calibri" w:cs="Calibri" w:eastAsia="Calibri" w:hAnsi="Calibri"/>
                <w:color w:val="1E293B"/>
                <w:sz w:val="19"/>
                <w:szCs w:val="19"/>
              </w:rPr>
              <w:t xml:space="preserve">Vérification des crédits, du marché et du plafond, avant transmission ou commande.</w:t>
            </w:r>
          </w:p>
        </w:tc>
      </w:tr>
      <w:tr>
        <w:tc>
          <w:tcPr>
            <w:tcW w:type="dxa" w:w="17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4. Commande &amp; service fait</w:t>
            </w:r>
          </w:p>
        </w:tc>
        <w:tc>
          <w:tcPr>
            <w:tcW w:type="dxa" w:w="24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La CB, puis le Demandeur</w:t>
            </w:r>
          </w:p>
        </w:tc>
        <w:tc>
          <w:tcPr>
            <w:tcW w:type="dxa" w:w="56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Passation de la commande dans le PGI, puis constat de service fait (CSF) et liquidation.</w:t>
            </w:r>
          </w:p>
        </w:tc>
      </w:tr>
    </w:tbl>
    <w:p>
      <w:r>
        <w:br w:type="page"/>
      </w:r>
    </w:p>
    <w:p>
      <w:pPr>
        <w:pStyle w:val="Heading1"/>
        <w:pBdr>
          <w:bottom w:val="single" w:color="005299" w:sz="6" w:space="4"/>
        </w:pBdr>
        <w:spacing w:after="160" w:before="200"/>
      </w:pPr>
      <w:r>
        <w:rPr>
          <w:rFonts w:ascii="Calibri" w:cs="Calibri" w:eastAsia="Calibri" w:hAnsi="Calibri"/>
          <w:b/>
          <w:bCs/>
          <w:color w:val="005299"/>
          <w:sz w:val="30"/>
          <w:szCs w:val="30"/>
        </w:rPr>
        <w:t xml:space="preserve">Les rôles et responsabilités</w:t>
      </w:r>
    </w:p>
    <w:p>
      <w:pPr>
        <w:spacing w:after="120"/>
      </w:pPr>
      <w:r>
        <w:rPr>
          <w:rFonts w:ascii="Calibri" w:cs="Calibri" w:eastAsia="Calibri" w:hAnsi="Calibri"/>
          <w:color w:val="1E293B"/>
          <w:sz w:val="21"/>
          <w:szCs w:val="21"/>
        </w:rPr>
        <w:t xml:space="preserve">Chaque utilisateur agit selon un ou plusieurs rôles, toujours bornés à un périmètre précis (cellule, service ou direction). Le cumul de rôles est possible : un même agent peut, par exemple, être Demandeur et RC.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800"/>
      </w:tblGrid>
      <w:tr>
        <w:trPr>
          <w:tblHeader/>
        </w:trPr>
        <w:tc>
          <w:tcPr>
            <w:tcW w:type="dxa" w:w="20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Rôle</w:t>
            </w:r>
          </w:p>
        </w:tc>
        <w:tc>
          <w:tcPr>
            <w:tcW w:type="dxa" w:w="19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Périmètre</w:t>
            </w:r>
          </w:p>
        </w:tc>
        <w:tc>
          <w:tcPr>
            <w:tcW w:type="dxa" w:w="58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Responsabilité</w:t>
            </w:r>
          </w:p>
        </w:tc>
      </w:tr>
      <w:tr>
        <w:tc>
          <w:tcPr>
            <w:tcW w:type="dxa" w:w="2000"/>
            <w:shd w:fill="F1F4F8"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Demandeur</w:t>
            </w:r>
          </w:p>
        </w:tc>
        <w:tc>
          <w:tcPr>
            <w:tcW w:type="dxa" w:w="1900"/>
            <w:tcMar>
              <w:top w:type="dxa" w:w="90"/>
              <w:left w:type="dxa" w:w="110"/>
              <w:bottom w:type="dxa" w:w="90"/>
              <w:right w:type="dxa" w:w="110"/>
            </w:tcMar>
            <w:vAlign w:val="center"/>
          </w:tcPr>
          <w:p>
            <w:r>
              <w:rPr>
                <w:rFonts w:ascii="Calibri" w:cs="Calibri" w:eastAsia="Calibri" w:hAnsi="Calibri"/>
                <w:color w:val="1E293B"/>
                <w:sz w:val="19"/>
                <w:szCs w:val="19"/>
              </w:rPr>
              <w:t xml:space="preserve">Son service</w:t>
            </w:r>
          </w:p>
        </w:tc>
        <w:tc>
          <w:tcPr>
            <w:tcW w:type="dxa" w:w="5800"/>
            <w:tcMar>
              <w:top w:type="dxa" w:w="90"/>
              <w:left w:type="dxa" w:w="110"/>
              <w:bottom w:type="dxa" w:w="90"/>
              <w:right w:type="dxa" w:w="110"/>
            </w:tcMar>
            <w:vAlign w:val="center"/>
          </w:tcPr>
          <w:p>
            <w:r>
              <w:rPr>
                <w:rFonts w:ascii="Calibri" w:cs="Calibri" w:eastAsia="Calibri" w:hAnsi="Calibri"/>
                <w:color w:val="1E293B"/>
                <w:sz w:val="19"/>
                <w:szCs w:val="19"/>
              </w:rPr>
              <w:t xml:space="preserve">Exprime un besoin d'achat, dépose devis et pièces, transmet la demande à son responsable de cellule.</w:t>
            </w:r>
          </w:p>
        </w:tc>
      </w:tr>
      <w:tr>
        <w:tc>
          <w:tcPr>
            <w:tcW w:type="dxa" w:w="20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RC — Responsable de Cellule (N+1)</w:t>
            </w:r>
          </w:p>
        </w:tc>
        <w:tc>
          <w:tcPr>
            <w:tcW w:type="dxa" w:w="19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Sa cellule</w:t>
            </w:r>
          </w:p>
        </w:tc>
        <w:tc>
          <w:tcPr>
            <w:tcW w:type="dxa" w:w="58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Statue sur l'opportunité de la demande, puis finalise la Fiche d'Achat Direct (fournisseur, imputation, type d'achat) avant transmission.</w:t>
            </w:r>
          </w:p>
        </w:tc>
      </w:tr>
      <w:tr>
        <w:tc>
          <w:tcPr>
            <w:tcW w:type="dxa" w:w="20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CDS — Chef de Service (N+2)</w:t>
            </w:r>
          </w:p>
        </w:tc>
        <w:tc>
          <w:tcPr>
            <w:tcW w:type="dxa" w:w="1900"/>
            <w:tcMar>
              <w:top w:type="dxa" w:w="90"/>
              <w:left w:type="dxa" w:w="110"/>
              <w:bottom w:type="dxa" w:w="90"/>
              <w:right w:type="dxa" w:w="110"/>
            </w:tcMar>
            <w:vAlign w:val="center"/>
          </w:tcPr>
          <w:p>
            <w:r>
              <w:rPr>
                <w:rFonts w:ascii="Calibri" w:cs="Calibri" w:eastAsia="Calibri" w:hAnsi="Calibri"/>
                <w:color w:val="1E293B"/>
                <w:sz w:val="19"/>
                <w:szCs w:val="19"/>
              </w:rPr>
              <w:t xml:space="preserve">Son service</w:t>
            </w:r>
          </w:p>
        </w:tc>
        <w:tc>
          <w:tcPr>
            <w:tcW w:type="dxa" w:w="5800"/>
            <w:tcMar>
              <w:top w:type="dxa" w:w="90"/>
              <w:left w:type="dxa" w:w="110"/>
              <w:bottom w:type="dxa" w:w="90"/>
              <w:right w:type="dxa" w:w="110"/>
            </w:tcMar>
            <w:vAlign w:val="center"/>
          </w:tcPr>
          <w:p>
            <w:r>
              <w:rPr>
                <w:rFonts w:ascii="Calibri" w:cs="Calibri" w:eastAsia="Calibri" w:hAnsi="Calibri"/>
                <w:color w:val="1E293B"/>
                <w:sz w:val="19"/>
                <w:szCs w:val="19"/>
              </w:rPr>
              <w:t xml:space="preserve">Valide la FAD au niveau du service et la transmet à la Cellule Budgétaire.</w:t>
            </w:r>
          </w:p>
        </w:tc>
      </w:tr>
      <w:tr>
        <w:tc>
          <w:tcPr>
            <w:tcW w:type="dxa" w:w="2000"/>
            <w:shd w:fill="FBF1DE"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CB — Cellule Budgétaire</w:t>
            </w:r>
          </w:p>
        </w:tc>
        <w:tc>
          <w:tcPr>
            <w:tcW w:type="dxa" w:w="19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Son service (collectif)</w:t>
            </w:r>
          </w:p>
        </w:tc>
        <w:tc>
          <w:tcPr>
            <w:tcW w:type="dxa" w:w="58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Contrôle crédits, marché et plafond ; déclenche la commande, le paiement et la liquidation.</w:t>
            </w:r>
          </w:p>
        </w:tc>
      </w:tr>
      <w:tr>
        <w:tc>
          <w:tcPr>
            <w:tcW w:type="dxa" w:w="20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DS — Direction (N+3)</w:t>
            </w:r>
          </w:p>
        </w:tc>
        <w:tc>
          <w:tcPr>
            <w:tcW w:type="dxa" w:w="1900"/>
            <w:tcMar>
              <w:top w:type="dxa" w:w="90"/>
              <w:left w:type="dxa" w:w="110"/>
              <w:bottom w:type="dxa" w:w="90"/>
              <w:right w:type="dxa" w:w="110"/>
            </w:tcMar>
            <w:vAlign w:val="center"/>
          </w:tcPr>
          <w:p>
            <w:r>
              <w:rPr>
                <w:rFonts w:ascii="Calibri" w:cs="Calibri" w:eastAsia="Calibri" w:hAnsi="Calibri"/>
                <w:color w:val="1E293B"/>
                <w:sz w:val="19"/>
                <w:szCs w:val="19"/>
              </w:rPr>
              <w:t xml:space="preserve">Sa direction</w:t>
            </w:r>
          </w:p>
        </w:tc>
        <w:tc>
          <w:tcPr>
            <w:tcW w:type="dxa" w:w="5800"/>
            <w:tcMar>
              <w:top w:type="dxa" w:w="90"/>
              <w:left w:type="dxa" w:w="110"/>
              <w:bottom w:type="dxa" w:w="90"/>
              <w:right w:type="dxa" w:w="110"/>
            </w:tcMar>
            <w:vAlign w:val="center"/>
          </w:tcPr>
          <w:p>
            <w:r>
              <w:rPr>
                <w:rFonts w:ascii="Calibri" w:cs="Calibri" w:eastAsia="Calibri" w:hAnsi="Calibri"/>
                <w:color w:val="1E293B"/>
                <w:sz w:val="19"/>
                <w:szCs w:val="19"/>
              </w:rPr>
              <w:t xml:space="preserve">Valide les demandes dépassant le seuil budgétaire paramétré pour le service, et donne l'ordre de commande à la CB.</w:t>
            </w:r>
          </w:p>
        </w:tc>
      </w:tr>
      <w:tr>
        <w:tc>
          <w:tcPr>
            <w:tcW w:type="dxa" w:w="2000"/>
            <w:shd w:fill="EAF1F8"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ADMIN_SERVICE</w:t>
            </w:r>
          </w:p>
        </w:tc>
        <w:tc>
          <w:tcPr>
            <w:tcW w:type="dxa" w:w="19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Son service</w:t>
            </w:r>
          </w:p>
        </w:tc>
        <w:tc>
          <w:tcPr>
            <w:tcW w:type="dxa" w:w="58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Administre les référentiels du service (fournisseurs, CUG, utilisateurs, imports PGI) et attribue les rôles RC/CDS/CB.</w:t>
            </w:r>
          </w:p>
        </w:tc>
      </w:tr>
      <w:tr>
        <w:tc>
          <w:tcPr>
            <w:tcW w:type="dxa" w:w="2000"/>
            <w:shd w:fill="EAF1F8"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ADMIN_APP</w:t>
            </w:r>
          </w:p>
        </w:tc>
        <w:tc>
          <w:tcPr>
            <w:tcW w:type="dxa" w:w="1900"/>
            <w:tcMar>
              <w:top w:type="dxa" w:w="90"/>
              <w:left w:type="dxa" w:w="110"/>
              <w:bottom w:type="dxa" w:w="90"/>
              <w:right w:type="dxa" w:w="110"/>
            </w:tcMar>
            <w:vAlign w:val="center"/>
          </w:tcPr>
          <w:p>
            <w:r>
              <w:rPr>
                <w:rFonts w:ascii="Calibri" w:cs="Calibri" w:eastAsia="Calibri" w:hAnsi="Calibri"/>
                <w:color w:val="1E293B"/>
                <w:sz w:val="19"/>
                <w:szCs w:val="19"/>
              </w:rPr>
              <w:t xml:space="preserve">Transverse (tous services)</w:t>
            </w:r>
          </w:p>
        </w:tc>
        <w:tc>
          <w:tcPr>
            <w:tcW w:type="dxa" w:w="5800"/>
            <w:tcMar>
              <w:top w:type="dxa" w:w="90"/>
              <w:left w:type="dxa" w:w="110"/>
              <w:bottom w:type="dxa" w:w="90"/>
              <w:right w:type="dxa" w:w="110"/>
            </w:tcMar>
            <w:vAlign w:val="center"/>
          </w:tcPr>
          <w:p>
            <w:r>
              <w:rPr>
                <w:rFonts w:ascii="Calibri" w:cs="Calibri" w:eastAsia="Calibri" w:hAnsi="Calibri"/>
                <w:color w:val="1E293B"/>
                <w:sz w:val="19"/>
                <w:szCs w:val="19"/>
              </w:rPr>
              <w:t xml:space="preserve">Administre les référentiels transverses, les comptes utilisateurs et les paramètres de l'application.</w:t>
            </w:r>
          </w:p>
        </w:tc>
      </w:tr>
    </w:tbl>
    <w:p>
      <w:pPr>
        <w:spacing w:before="200"/>
      </w:pPr>
      <w:r>
        <w:rPr>
          <w:rFonts w:ascii="Calibri" w:cs="Calibri" w:eastAsia="Calibri" w:hAnsi="Calibri"/>
          <w:b/>
          <w:bCs/>
          <w:color w:val="1E293B"/>
          <w:sz w:val="21"/>
          <w:szCs w:val="21"/>
        </w:rPr>
        <w:t xml:space="preserve">Suppléance — </w:t>
      </w:r>
      <w:r>
        <w:rPr>
          <w:rFonts w:ascii="Calibri" w:cs="Calibri" w:eastAsia="Calibri" w:hAnsi="Calibri"/>
          <w:color w:val="1E293B"/>
          <w:sz w:val="21"/>
          <w:szCs w:val="21"/>
        </w:rPr>
        <w:t xml:space="preserve">un titulaire RC, CDS ou DS absent peut déclarer lui-même un suppléant, qui reprend intégralement sa file de travail pendant la période concernée ; le titulaire repasse alors en lecture seule, et chaque action du suppléant reste tracée sous son identité réelle.</w:t>
      </w:r>
    </w:p>
    <w:p>
      <w:r>
        <w:br w:type="page"/>
      </w:r>
    </w:p>
    <w:p>
      <w:pPr>
        <w:pStyle w:val="Heading1"/>
        <w:pBdr>
          <w:bottom w:val="single" w:color="005299" w:sz="6" w:space="4"/>
        </w:pBdr>
        <w:spacing w:after="160" w:before="200"/>
      </w:pPr>
      <w:r>
        <w:rPr>
          <w:rFonts w:ascii="Calibri" w:cs="Calibri" w:eastAsia="Calibri" w:hAnsi="Calibri"/>
          <w:b/>
          <w:bCs/>
          <w:color w:val="005299"/>
          <w:sz w:val="30"/>
          <w:szCs w:val="30"/>
        </w:rPr>
        <w:t xml:space="preserve">Le circuit de la demande d'achat</w:t>
      </w:r>
    </w:p>
    <w:p>
      <w:pPr>
        <w:spacing w:after="120"/>
      </w:pPr>
      <w:r>
        <w:rPr>
          <w:rFonts w:ascii="Calibri" w:cs="Calibri" w:eastAsia="Calibri" w:hAnsi="Calibri"/>
          <w:color w:val="1E293B"/>
          <w:sz w:val="21"/>
          <w:szCs w:val="21"/>
        </w:rPr>
        <w:t xml:space="preserve">Une demande d'achat (DA) devient une Fiche d'Achat Direct (FAD) dès sa prise en charge par le RC. Elle progresse ensuite à travers les étapes suivantes, chacune franchie par un acte de transmission délibéré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400"/>
      </w:tblGrid>
      <w:tr>
        <w:trPr>
          <w:tblHeader/>
        </w:trPr>
        <w:tc>
          <w:tcPr>
            <w:tcW w:type="dxa" w:w="7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w:t>
            </w:r>
          </w:p>
        </w:tc>
        <w:tc>
          <w:tcPr>
            <w:tcW w:type="dxa" w:w="26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Étape</w:t>
            </w:r>
          </w:p>
        </w:tc>
        <w:tc>
          <w:tcPr>
            <w:tcW w:type="dxa" w:w="64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Déroulement</w:t>
            </w:r>
          </w:p>
        </w:tc>
      </w:tr>
      <w:tr>
        <w:tc>
          <w:tcPr>
            <w:tcW w:type="dxa" w:w="700"/>
            <w:tcMar>
              <w:top w:type="dxa" w:w="90"/>
              <w:left w:type="dxa" w:w="110"/>
              <w:bottom w:type="dxa" w:w="90"/>
              <w:right w:type="dxa" w:w="110"/>
            </w:tcMar>
            <w:vAlign w:val="center"/>
          </w:tcPr>
          <w:p>
            <w:r>
              <w:rPr>
                <w:rFonts w:ascii="Calibri" w:cs="Calibri" w:eastAsia="Calibri" w:hAnsi="Calibri"/>
                <w:color w:val="1E293B"/>
                <w:sz w:val="19"/>
                <w:szCs w:val="19"/>
              </w:rPr>
              <w:t xml:space="preserve">1</w:t>
            </w:r>
          </w:p>
        </w:tc>
        <w:tc>
          <w:tcPr>
            <w:tcW w:type="dxa" w:w="2600"/>
            <w:shd w:fill="F1F4F8"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Création (Demandeur)</w:t>
            </w:r>
          </w:p>
        </w:tc>
        <w:tc>
          <w:tcPr>
            <w:tcW w:type="dxa" w:w="6400"/>
            <w:tcMar>
              <w:top w:type="dxa" w:w="90"/>
              <w:left w:type="dxa" w:w="110"/>
              <w:bottom w:type="dxa" w:w="90"/>
              <w:right w:type="dxa" w:w="110"/>
            </w:tcMar>
            <w:vAlign w:val="center"/>
          </w:tcPr>
          <w:p>
            <w:r>
              <w:rPr>
                <w:rFonts w:ascii="Calibri" w:cs="Calibri" w:eastAsia="Calibri" w:hAnsi="Calibri"/>
                <w:color w:val="1E293B"/>
                <w:sz w:val="19"/>
                <w:szCs w:val="19"/>
              </w:rPr>
              <w:t xml:space="preserve">La DA est créée, complétée (objet, pièces, devis) puis transmise au RC de la cellule.</w:t>
            </w:r>
          </w:p>
        </w:tc>
      </w:tr>
      <w:tr>
        <w:tc>
          <w:tcPr>
            <w:tcW w:type="dxa" w:w="7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2</w:t>
            </w:r>
          </w:p>
        </w:tc>
        <w:tc>
          <w:tcPr>
            <w:tcW w:type="dxa" w:w="26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Opportunité (RC)</w:t>
            </w:r>
          </w:p>
        </w:tc>
        <w:tc>
          <w:tcPr>
            <w:tcW w:type="dxa" w:w="64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Le RC valide, demande un complément, rejette ou annule. Une fois validée, il finalise la FAD (fournisseur retenu, imputation budgétaire, type d'achat) et la transmet au CDS.</w:t>
            </w:r>
          </w:p>
        </w:tc>
      </w:tr>
      <w:tr>
        <w:tc>
          <w:tcPr>
            <w:tcW w:type="dxa" w:w="700"/>
            <w:tcMar>
              <w:top w:type="dxa" w:w="90"/>
              <w:left w:type="dxa" w:w="110"/>
              <w:bottom w:type="dxa" w:w="90"/>
              <w:right w:type="dxa" w:w="110"/>
            </w:tcMar>
            <w:vAlign w:val="center"/>
          </w:tcPr>
          <w:p>
            <w:r>
              <w:rPr>
                <w:rFonts w:ascii="Calibri" w:cs="Calibri" w:eastAsia="Calibri" w:hAnsi="Calibri"/>
                <w:color w:val="1E293B"/>
                <w:sz w:val="19"/>
                <w:szCs w:val="19"/>
              </w:rPr>
              <w:t xml:space="preserve">3</w:t>
            </w:r>
          </w:p>
        </w:tc>
        <w:tc>
          <w:tcPr>
            <w:tcW w:type="dxa" w:w="26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Validation service (CDS)</w:t>
            </w:r>
          </w:p>
        </w:tc>
        <w:tc>
          <w:tcPr>
            <w:tcW w:type="dxa" w:w="6400"/>
            <w:tcMar>
              <w:top w:type="dxa" w:w="90"/>
              <w:left w:type="dxa" w:w="110"/>
              <w:bottom w:type="dxa" w:w="90"/>
              <w:right w:type="dxa" w:w="110"/>
            </w:tcMar>
            <w:vAlign w:val="center"/>
          </w:tcPr>
          <w:p>
            <w:r>
              <w:rPr>
                <w:rFonts w:ascii="Calibri" w:cs="Calibri" w:eastAsia="Calibri" w:hAnsi="Calibri"/>
                <w:color w:val="1E293B"/>
                <w:sz w:val="19"/>
                <w:szCs w:val="19"/>
              </w:rPr>
              <w:t xml:space="preserve">Le CDS valide, demande un complément (retour au RC) ou clôt la demande. Une fois validée, il transmet la FAD à la Cellule Budgétaire.</w:t>
            </w:r>
          </w:p>
        </w:tc>
      </w:tr>
      <w:tr>
        <w:tc>
          <w:tcPr>
            <w:tcW w:type="dxa" w:w="7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4</w:t>
            </w:r>
          </w:p>
        </w:tc>
        <w:tc>
          <w:tcPr>
            <w:tcW w:type="dxa" w:w="2600"/>
            <w:shd w:fill="FBF1DE"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Contrôle budgétaire (CB)</w:t>
            </w:r>
          </w:p>
        </w:tc>
        <w:tc>
          <w:tcPr>
            <w:tcW w:type="dxa" w:w="64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La CB vérifie crédits, marché et plafond. Elle valide, demande une modification (retour au RC, puis transmission directe à la CB) ou rejette.</w:t>
            </w:r>
          </w:p>
        </w:tc>
      </w:tr>
      <w:tr>
        <w:tc>
          <w:tcPr>
            <w:tcW w:type="dxa" w:w="700"/>
            <w:tcMar>
              <w:top w:type="dxa" w:w="90"/>
              <w:left w:type="dxa" w:w="110"/>
              <w:bottom w:type="dxa" w:w="90"/>
              <w:right w:type="dxa" w:w="110"/>
            </w:tcMar>
            <w:vAlign w:val="center"/>
          </w:tcPr>
          <w:p>
            <w:r>
              <w:rPr>
                <w:rFonts w:ascii="Calibri" w:cs="Calibri" w:eastAsia="Calibri" w:hAnsi="Calibri"/>
                <w:color w:val="1E293B"/>
                <w:sz w:val="19"/>
                <w:szCs w:val="19"/>
              </w:rPr>
              <w:t xml:space="preserve">5</w:t>
            </w:r>
          </w:p>
        </w:tc>
        <w:tc>
          <w:tcPr>
            <w:tcW w:type="dxa" w:w="2600"/>
            <w:shd w:fill="F1F4F8"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Seuil (automatique)</w:t>
            </w:r>
          </w:p>
        </w:tc>
        <w:tc>
          <w:tcPr>
            <w:tcW w:type="dxa" w:w="6400"/>
            <w:tcMar>
              <w:top w:type="dxa" w:w="90"/>
              <w:left w:type="dxa" w:w="110"/>
              <w:bottom w:type="dxa" w:w="90"/>
              <w:right w:type="dxa" w:w="110"/>
            </w:tcMar>
            <w:vAlign w:val="center"/>
          </w:tcPr>
          <w:p>
            <w:r>
              <w:rPr>
                <w:rFonts w:ascii="Calibri" w:cs="Calibri" w:eastAsia="Calibri" w:hAnsi="Calibri"/>
                <w:color w:val="1E293B"/>
                <w:sz w:val="19"/>
                <w:szCs w:val="19"/>
              </w:rPr>
              <w:t xml:space="preserve">Selon un seuil paramétré par service, la demande bascule automatiquement vers la commande, ou est transmise à la direction (DS) pour une validation complémentaire.</w:t>
            </w:r>
          </w:p>
        </w:tc>
      </w:tr>
      <w:tr>
        <w:tc>
          <w:tcPr>
            <w:tcW w:type="dxa" w:w="7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6</w:t>
            </w:r>
          </w:p>
        </w:tc>
        <w:tc>
          <w:tcPr>
            <w:tcW w:type="dxa" w:w="26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Validation direction (DS)</w:t>
            </w:r>
          </w:p>
        </w:tc>
        <w:tc>
          <w:tcPr>
            <w:tcW w:type="dxa" w:w="64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Au-delà du seuil, le DS valide, demande un complément (retour à la CB) ou rejette, puis donne l'ordre de commande à la CB.</w:t>
            </w:r>
          </w:p>
        </w:tc>
      </w:tr>
      <w:tr>
        <w:tc>
          <w:tcPr>
            <w:tcW w:type="dxa" w:w="700"/>
            <w:tcMar>
              <w:top w:type="dxa" w:w="90"/>
              <w:left w:type="dxa" w:w="110"/>
              <w:bottom w:type="dxa" w:w="90"/>
              <w:right w:type="dxa" w:w="110"/>
            </w:tcMar>
            <w:vAlign w:val="center"/>
          </w:tcPr>
          <w:p>
            <w:r>
              <w:rPr>
                <w:rFonts w:ascii="Calibri" w:cs="Calibri" w:eastAsia="Calibri" w:hAnsi="Calibri"/>
                <w:color w:val="1E293B"/>
                <w:sz w:val="19"/>
                <w:szCs w:val="19"/>
              </w:rPr>
              <w:t xml:space="preserve">7</w:t>
            </w:r>
          </w:p>
        </w:tc>
        <w:tc>
          <w:tcPr>
            <w:tcW w:type="dxa" w:w="2600"/>
            <w:shd w:fill="EAF4EC"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Commande (CB)</w:t>
            </w:r>
          </w:p>
        </w:tc>
        <w:tc>
          <w:tcPr>
            <w:tcW w:type="dxa" w:w="6400"/>
            <w:tcMar>
              <w:top w:type="dxa" w:w="90"/>
              <w:left w:type="dxa" w:w="110"/>
              <w:bottom w:type="dxa" w:w="90"/>
              <w:right w:type="dxa" w:w="110"/>
            </w:tcMar>
            <w:vAlign w:val="center"/>
          </w:tcPr>
          <w:p>
            <w:r>
              <w:rPr>
                <w:rFonts w:ascii="Calibri" w:cs="Calibri" w:eastAsia="Calibri" w:hAnsi="Calibri"/>
                <w:color w:val="1E293B"/>
                <w:sz w:val="19"/>
                <w:szCs w:val="19"/>
              </w:rPr>
              <w:t xml:space="preserve">La CB passe la commande dans le PGI et enregistre le montant commandé dans VIGIE : la FAD est commandée.</w:t>
            </w:r>
          </w:p>
        </w:tc>
      </w:tr>
    </w:tbl>
    <w:p>
      <w:pPr>
        <w:spacing w:after="0"/>
      </w:pPr>
      <w:r>
        <w:rPr>
          <w:rFonts w:ascii="Calibri" w:cs="Calibri" w:eastAsia="Calibri" w:hAnsi="Calibri"/>
          <w:i/>
          <w:iCs/>
          <w:color w:val="1E293B"/>
          <w:sz w:val="21"/>
          <w:szCs w:val="21"/>
        </w:rPr>
        <w:t xml:space="preserve">À chaque étape, un rejet ou une annulation met fin au cycle ; une demande de complément renvoie la FAD à l'acteur précédent concerné, sans jamais dupliquer le dossier. L'historique complet de ces échanges reste consultable à tout moment.</w:t>
      </w:r>
    </w:p>
    <w:p>
      <w:r>
        <w:br w:type="page"/>
      </w:r>
    </w:p>
    <w:p>
      <w:pPr>
        <w:pStyle w:val="Heading1"/>
        <w:pBdr>
          <w:bottom w:val="single" w:color="005299" w:sz="6" w:space="4"/>
        </w:pBdr>
        <w:spacing w:after="160" w:before="200"/>
      </w:pPr>
      <w:r>
        <w:rPr>
          <w:rFonts w:ascii="Calibri" w:cs="Calibri" w:eastAsia="Calibri" w:hAnsi="Calibri"/>
          <w:b/>
          <w:bCs/>
          <w:color w:val="005299"/>
          <w:sz w:val="30"/>
          <w:szCs w:val="30"/>
        </w:rPr>
        <w:t xml:space="preserve">Les statuts d'une demande</w:t>
      </w:r>
    </w:p>
    <w:p>
      <w:pPr>
        <w:spacing w:after="120"/>
      </w:pPr>
      <w:r>
        <w:rPr>
          <w:rFonts w:ascii="Calibri" w:cs="Calibri" w:eastAsia="Calibri" w:hAnsi="Calibri"/>
          <w:color w:val="1E293B"/>
          <w:sz w:val="21"/>
          <w:szCs w:val="21"/>
        </w:rPr>
        <w:t xml:space="preserve">Le cycle de vie complet d'une demande repose sur 25 statuts élémentaires, garantissant qu'à tout instant, chaque demande se trouve dans une file de travail précise et identifiable. Regroupés par grande étape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rPr>
          <w:tblHeader/>
        </w:trPr>
        <w:tc>
          <w:tcPr>
            <w:tcW w:type="dxa" w:w="34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Grande étape</w:t>
            </w:r>
          </w:p>
        </w:tc>
        <w:tc>
          <w:tcPr>
            <w:tcW w:type="dxa" w:w="63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Statuts correspondants</w:t>
            </w:r>
          </w:p>
        </w:tc>
      </w:tr>
      <w:tr>
        <w:tc>
          <w:tcPr>
            <w:tcW w:type="dxa" w:w="3400"/>
            <w:shd w:fill="F1F4F8"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Préparation</w:t>
            </w:r>
          </w:p>
        </w:tc>
        <w:tc>
          <w:tcPr>
            <w:tcW w:type="dxa" w:w="6300"/>
            <w:tcMar>
              <w:top w:type="dxa" w:w="90"/>
              <w:left w:type="dxa" w:w="110"/>
              <w:bottom w:type="dxa" w:w="90"/>
              <w:right w:type="dxa" w:w="110"/>
            </w:tcMar>
            <w:vAlign w:val="center"/>
          </w:tcPr>
          <w:p>
            <w:r>
              <w:rPr>
                <w:rFonts w:ascii="Calibri" w:cs="Calibri" w:eastAsia="Calibri" w:hAnsi="Calibri"/>
                <w:color w:val="1E293B"/>
                <w:sz w:val="19"/>
                <w:szCs w:val="19"/>
              </w:rPr>
              <w:t xml:space="preserve">En préparation</w:t>
            </w:r>
          </w:p>
        </w:tc>
      </w:tr>
      <w:tr>
        <w:tc>
          <w:tcPr>
            <w:tcW w:type="dxa" w:w="34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Niveau N+1 — RC</w:t>
            </w:r>
          </w:p>
        </w:tc>
        <w:tc>
          <w:tcPr>
            <w:tcW w:type="dxa" w:w="63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Transmise au N+1 · Validée par N+1 · À compléter · Rejetée / Annulée par N+1</w:t>
            </w:r>
          </w:p>
        </w:tc>
      </w:tr>
      <w:tr>
        <w:tc>
          <w:tcPr>
            <w:tcW w:type="dxa" w:w="34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Niveau N+2 — CDS</w:t>
            </w:r>
          </w:p>
        </w:tc>
        <w:tc>
          <w:tcPr>
            <w:tcW w:type="dxa" w:w="6300"/>
            <w:tcMar>
              <w:top w:type="dxa" w:w="90"/>
              <w:left w:type="dxa" w:w="110"/>
              <w:bottom w:type="dxa" w:w="90"/>
              <w:right w:type="dxa" w:w="110"/>
            </w:tcMar>
            <w:vAlign w:val="center"/>
          </w:tcPr>
          <w:p>
            <w:r>
              <w:rPr>
                <w:rFonts w:ascii="Calibri" w:cs="Calibri" w:eastAsia="Calibri" w:hAnsi="Calibri"/>
                <w:color w:val="1E293B"/>
                <w:sz w:val="19"/>
                <w:szCs w:val="19"/>
              </w:rPr>
              <w:t xml:space="preserve">Transmise au N+2 · Validée par N+2 · À compléter · Rejetée / Annulée par N+2</w:t>
            </w:r>
          </w:p>
        </w:tc>
      </w:tr>
      <w:tr>
        <w:tc>
          <w:tcPr>
            <w:tcW w:type="dxa" w:w="3400"/>
            <w:shd w:fill="FBF1DE"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Contrôle budgétaire — CB</w:t>
            </w:r>
          </w:p>
        </w:tc>
        <w:tc>
          <w:tcPr>
            <w:tcW w:type="dxa" w:w="63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Transmise à la CB · Validée par la CB · À modifier · Rejetée par la CB</w:t>
            </w:r>
          </w:p>
        </w:tc>
      </w:tr>
      <w:tr>
        <w:tc>
          <w:tcPr>
            <w:tcW w:type="dxa" w:w="3400"/>
            <w:shd w:fill="E6F1FB"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Niveau N+3 — DS (au-delà du seuil)</w:t>
            </w:r>
          </w:p>
        </w:tc>
        <w:tc>
          <w:tcPr>
            <w:tcW w:type="dxa" w:w="6300"/>
            <w:tcMar>
              <w:top w:type="dxa" w:w="90"/>
              <w:left w:type="dxa" w:w="110"/>
              <w:bottom w:type="dxa" w:w="90"/>
              <w:right w:type="dxa" w:w="110"/>
            </w:tcMar>
            <w:vAlign w:val="center"/>
          </w:tcPr>
          <w:p>
            <w:r>
              <w:rPr>
                <w:rFonts w:ascii="Calibri" w:cs="Calibri" w:eastAsia="Calibri" w:hAnsi="Calibri"/>
                <w:color w:val="1E293B"/>
                <w:sz w:val="19"/>
                <w:szCs w:val="19"/>
              </w:rPr>
              <w:t xml:space="preserve">Transmise au N+3 · Validée par N+3 (ou automatiquement sous le seuil) · À compléter · Rejetée / Annulée par N+3</w:t>
            </w:r>
          </w:p>
        </w:tc>
      </w:tr>
      <w:tr>
        <w:tc>
          <w:tcPr>
            <w:tcW w:type="dxa" w:w="3400"/>
            <w:shd w:fill="EAF4EC" w:color="auto" w:val="clear"/>
            <w:tcMar>
              <w:top w:type="dxa" w:w="90"/>
              <w:left w:type="dxa" w:w="110"/>
              <w:bottom w:type="dxa" w:w="90"/>
              <w:right w:type="dxa" w:w="110"/>
            </w:tcMar>
            <w:vAlign w:val="center"/>
          </w:tcPr>
          <w:p>
            <w:r>
              <w:rPr>
                <w:rFonts w:ascii="Calibri" w:cs="Calibri" w:eastAsia="Calibri" w:hAnsi="Calibri"/>
                <w:b/>
                <w:bCs/>
                <w:color w:val="1E293B"/>
                <w:sz w:val="19"/>
                <w:szCs w:val="19"/>
              </w:rPr>
              <w:t xml:space="preserve">Commande</w:t>
            </w:r>
          </w:p>
        </w:tc>
        <w:tc>
          <w:tcPr>
            <w:tcW w:type="dxa" w:w="63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Ordre de commande transmis · À commander · Commandée</w:t>
            </w:r>
          </w:p>
        </w:tc>
      </w:tr>
    </w:tbl>
    <w:p>
      <w:pPr>
        <w:spacing w:after="100" w:before="200"/>
      </w:pPr>
      <w:r>
        <w:rPr>
          <w:rFonts w:ascii="Calibri" w:cs="Calibri" w:eastAsia="Calibri" w:hAnsi="Calibri"/>
          <w:b/>
          <w:bCs/>
          <w:color w:val="013F76"/>
          <w:sz w:val="22"/>
          <w:szCs w:val="22"/>
        </w:rPr>
        <w:t xml:space="preserve">Le service fait (après commande)</w:t>
      </w:r>
    </w:p>
    <w:p>
      <w:pPr>
        <w:spacing w:after="120"/>
      </w:pPr>
      <w:r>
        <w:rPr>
          <w:rFonts w:ascii="Calibri" w:cs="Calibri" w:eastAsia="Calibri" w:hAnsi="Calibri"/>
          <w:color w:val="1E293B"/>
          <w:sz w:val="21"/>
          <w:szCs w:val="21"/>
        </w:rPr>
        <w:t xml:space="preserve">Une fois la commande passée, un second circuit court prend le relais pour constater la réalisation de la prestation : élaboration du Constat de Service Fait (CSF) par le Demandeur ou le RC, validation par le RC, puis validation et déclenchement du paiement par la CB, qui constate enfin la liquidation dans le PGI — un état qui verrouille définitivement le CSF.</w:t>
      </w:r>
    </w:p>
    <w:p>
      <w:r>
        <w:br w:type="page"/>
      </w:r>
    </w:p>
    <w:p>
      <w:pPr>
        <w:pStyle w:val="Heading1"/>
        <w:pBdr>
          <w:bottom w:val="single" w:color="005299" w:sz="6" w:space="4"/>
        </w:pBdr>
        <w:spacing w:after="160" w:before="200"/>
      </w:pPr>
      <w:r>
        <w:rPr>
          <w:rFonts w:ascii="Calibri" w:cs="Calibri" w:eastAsia="Calibri" w:hAnsi="Calibri"/>
          <w:b/>
          <w:bCs/>
          <w:color w:val="005299"/>
          <w:sz w:val="30"/>
          <w:szCs w:val="30"/>
        </w:rPr>
        <w:t xml:space="preserve">Les référentiels alimentés depuis le PGI</w:t>
      </w:r>
    </w:p>
    <w:p>
      <w:pPr>
        <w:spacing w:after="120"/>
      </w:pPr>
      <w:r>
        <w:rPr>
          <w:rFonts w:ascii="Calibri" w:cs="Calibri" w:eastAsia="Calibri" w:hAnsi="Calibri"/>
          <w:color w:val="1E293B"/>
          <w:sz w:val="21"/>
          <w:szCs w:val="21"/>
        </w:rPr>
        <w:t xml:space="preserve">Trois référentiels sont alimentés par import direct d'un export Excel du PGI, selon un même principe : dépôt du fichier par glisser-déposer, contrôle de sa structure, aperçu bloquant des créations et mises à jour à venir, puis confirmation explicite avant écriture définitive — avec compte-rendu affiché à l'écran en temps réel.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600"/>
      </w:tblGrid>
      <w:tr>
        <w:trPr>
          <w:tblHeader/>
        </w:trPr>
        <w:tc>
          <w:tcPr>
            <w:tcW w:type="dxa" w:w="19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Import</w:t>
            </w:r>
          </w:p>
        </w:tc>
        <w:tc>
          <w:tcPr>
            <w:tcW w:type="dxa" w:w="42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Contenu et effet</w:t>
            </w:r>
          </w:p>
        </w:tc>
        <w:tc>
          <w:tcPr>
            <w:tcW w:type="dxa" w:w="3600"/>
            <w:shd w:fill="005299"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Réalisé par</w:t>
            </w:r>
          </w:p>
        </w:tc>
      </w:tr>
      <w:tr>
        <w:tc>
          <w:tcPr>
            <w:tcW w:type="dxa" w:w="1900"/>
            <w:tcMar>
              <w:top w:type="dxa" w:w="90"/>
              <w:left w:type="dxa" w:w="110"/>
              <w:bottom w:type="dxa" w:w="90"/>
              <w:right w:type="dxa" w:w="110"/>
            </w:tcMar>
            <w:vAlign w:val="center"/>
          </w:tcPr>
          <w:p>
            <w:r>
              <w:rPr>
                <w:rFonts w:ascii="Calibri" w:cs="Calibri" w:eastAsia="Calibri" w:hAnsi="Calibri"/>
                <w:color w:val="1E293B"/>
                <w:sz w:val="19"/>
                <w:szCs w:val="19"/>
              </w:rPr>
              <w:t xml:space="preserve">Marchés</w:t>
            </w:r>
          </w:p>
        </w:tc>
        <w:tc>
          <w:tcPr>
            <w:tcW w:type="dxa" w:w="4200"/>
            <w:tcMar>
              <w:top w:type="dxa" w:w="90"/>
              <w:left w:type="dxa" w:w="110"/>
              <w:bottom w:type="dxa" w:w="90"/>
              <w:right w:type="dxa" w:w="110"/>
            </w:tcMar>
            <w:vAlign w:val="center"/>
          </w:tcPr>
          <w:p>
            <w:r>
              <w:rPr>
                <w:rFonts w:ascii="Calibri" w:cs="Calibri" w:eastAsia="Calibri" w:hAnsi="Calibri"/>
                <w:color w:val="1E293B"/>
                <w:sz w:val="19"/>
                <w:szCs w:val="19"/>
              </w:rPr>
              <w:t xml:space="preserve">Référencement des marchés (fournisseur, montants, dates de validité) ; crée automatiquement les fournisseurs manquants.</w:t>
            </w:r>
          </w:p>
        </w:tc>
        <w:tc>
          <w:tcPr>
            <w:tcW w:type="dxa" w:w="3600"/>
            <w:tcMar>
              <w:top w:type="dxa" w:w="90"/>
              <w:left w:type="dxa" w:w="110"/>
              <w:bottom w:type="dxa" w:w="90"/>
              <w:right w:type="dxa" w:w="110"/>
            </w:tcMar>
            <w:vAlign w:val="center"/>
          </w:tcPr>
          <w:p>
            <w:r>
              <w:rPr>
                <w:rFonts w:ascii="Calibri" w:cs="Calibri" w:eastAsia="Calibri" w:hAnsi="Calibri"/>
                <w:color w:val="1E293B"/>
                <w:sz w:val="19"/>
                <w:szCs w:val="19"/>
              </w:rPr>
              <w:t xml:space="preserve">ADMIN_SERVICE · ADMIN_APP · CB</w:t>
            </w:r>
          </w:p>
        </w:tc>
      </w:tr>
      <w:tr>
        <w:tc>
          <w:tcPr>
            <w:tcW w:type="dxa" w:w="19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Commandes PGI</w:t>
            </w:r>
          </w:p>
        </w:tc>
        <w:tc>
          <w:tcPr>
            <w:tcW w:type="dxa" w:w="42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Montants engagés et liquidés par commande, pour le suivi budgétaire agrégé.</w:t>
            </w:r>
          </w:p>
        </w:tc>
        <w:tc>
          <w:tcPr>
            <w:tcW w:type="dxa" w:w="3600"/>
            <w:shd w:fill="F8FAFC" w:color="auto" w:val="clear"/>
            <w:tcMar>
              <w:top w:type="dxa" w:w="90"/>
              <w:left w:type="dxa" w:w="110"/>
              <w:bottom w:type="dxa" w:w="90"/>
              <w:right w:type="dxa" w:w="110"/>
            </w:tcMar>
            <w:vAlign w:val="center"/>
          </w:tcPr>
          <w:p>
            <w:r>
              <w:rPr>
                <w:rFonts w:ascii="Calibri" w:cs="Calibri" w:eastAsia="Calibri" w:hAnsi="Calibri"/>
                <w:color w:val="1E293B"/>
                <w:sz w:val="19"/>
                <w:szCs w:val="19"/>
              </w:rPr>
              <w:t xml:space="preserve">ADMIN_SERVICE · ADMIN_APP · CB</w:t>
            </w:r>
          </w:p>
        </w:tc>
      </w:tr>
      <w:tr>
        <w:tc>
          <w:tcPr>
            <w:tcW w:type="dxa" w:w="1900"/>
            <w:tcMar>
              <w:top w:type="dxa" w:w="90"/>
              <w:left w:type="dxa" w:w="110"/>
              <w:bottom w:type="dxa" w:w="90"/>
              <w:right w:type="dxa" w:w="110"/>
            </w:tcMar>
            <w:vAlign w:val="center"/>
          </w:tcPr>
          <w:p>
            <w:r>
              <w:rPr>
                <w:rFonts w:ascii="Calibri" w:cs="Calibri" w:eastAsia="Calibri" w:hAnsi="Calibri"/>
                <w:color w:val="1E293B"/>
                <w:sz w:val="19"/>
                <w:szCs w:val="19"/>
              </w:rPr>
              <w:t xml:space="preserve">Investissements PGI</w:t>
            </w:r>
          </w:p>
        </w:tc>
        <w:tc>
          <w:tcPr>
            <w:tcW w:type="dxa" w:w="4200"/>
            <w:tcMar>
              <w:top w:type="dxa" w:w="90"/>
              <w:left w:type="dxa" w:w="110"/>
              <w:bottom w:type="dxa" w:w="90"/>
              <w:right w:type="dxa" w:w="110"/>
            </w:tcMar>
            <w:vAlign w:val="center"/>
          </w:tcPr>
          <w:p>
            <w:r>
              <w:rPr>
                <w:rFonts w:ascii="Calibri" w:cs="Calibri" w:eastAsia="Calibri" w:hAnsi="Calibri"/>
                <w:color w:val="1E293B"/>
                <w:sz w:val="19"/>
                <w:szCs w:val="19"/>
              </w:rPr>
              <w:t xml:space="preserve">Opérations d'investissement et leurs enveloppes (Autorisation de Programme, Crédit de Paiement), avec pièces jointes associées.</w:t>
            </w:r>
          </w:p>
        </w:tc>
        <w:tc>
          <w:tcPr>
            <w:tcW w:type="dxa" w:w="3600"/>
            <w:tcMar>
              <w:top w:type="dxa" w:w="90"/>
              <w:left w:type="dxa" w:w="110"/>
              <w:bottom w:type="dxa" w:w="90"/>
              <w:right w:type="dxa" w:w="110"/>
            </w:tcMar>
            <w:vAlign w:val="center"/>
          </w:tcPr>
          <w:p>
            <w:r>
              <w:rPr>
                <w:rFonts w:ascii="Calibri" w:cs="Calibri" w:eastAsia="Calibri" w:hAnsi="Calibri"/>
                <w:color w:val="1E293B"/>
                <w:sz w:val="19"/>
                <w:szCs w:val="19"/>
              </w:rPr>
              <w:t xml:space="preserve">ADMIN_SERVICE · ADMIN_APP · CB</w:t>
            </w:r>
          </w:p>
        </w:tc>
      </w:tr>
    </w:tbl>
    <w:p>
      <w:pPr>
        <w:spacing w:after="120"/>
      </w:pPr>
      <w:r>
        <w:rPr>
          <w:rFonts w:ascii="Calibri" w:cs="Calibri" w:eastAsia="Calibri" w:hAnsi="Calibri"/>
          <w:i/>
          <w:iCs/>
          <w:color w:val="1E293B"/>
          <w:sz w:val="21"/>
          <w:szCs w:val="21"/>
        </w:rPr>
        <w:t xml:space="preserve">Un import concerne toujours un seul service à la fois. Les champs saisis manuellement dans VIGIE après une première intégration ne sont jamais écrasés par une réimportation ultérieure.</w:t>
      </w:r>
    </w:p>
    <w:p>
      <w:r>
        <w:br w:type="page"/>
      </w:r>
    </w:p>
    <w:p>
      <w:pPr>
        <w:pStyle w:val="Heading1"/>
        <w:pBdr>
          <w:bottom w:val="single" w:color="005299" w:sz="6" w:space="4"/>
        </w:pBdr>
        <w:spacing w:after="160" w:before="200"/>
      </w:pPr>
      <w:r>
        <w:rPr>
          <w:rFonts w:ascii="Calibri" w:cs="Calibri" w:eastAsia="Calibri" w:hAnsi="Calibri"/>
          <w:b/>
          <w:bCs/>
          <w:color w:val="005299"/>
          <w:sz w:val="30"/>
          <w:szCs w:val="30"/>
        </w:rPr>
        <w:t xml:space="preserve">Sécurité et gouvernance des données</w:t>
      </w:r>
    </w:p>
    <w:p>
      <w:pPr>
        <w:pStyle w:val="ListParagraph"/>
        <w:numPr>
          <w:ilvl w:val="0"/>
          <w:numId w:val="2"/>
        </w:numPr>
        <w:spacing w:after="60"/>
      </w:pPr>
      <w:r>
        <w:rPr>
          <w:rFonts w:ascii="Calibri" w:cs="Calibri" w:eastAsia="Calibri" w:hAnsi="Calibri"/>
          <w:b/>
          <w:bCs/>
          <w:color w:val="1E293B"/>
          <w:sz w:val="21"/>
          <w:szCs w:val="21"/>
        </w:rPr>
        <w:t xml:space="preserve">Cloisonnement par périmètre</w:t>
      </w:r>
      <w:r>
        <w:rPr>
          <w:rFonts w:ascii="Calibri" w:cs="Calibri" w:eastAsia="Calibri" w:hAnsi="Calibri"/>
          <w:color w:val="1E293B"/>
          <w:sz w:val="21"/>
          <w:szCs w:val="21"/>
        </w:rPr>
        <w:t xml:space="preserve"> — chaque utilisateur ne peut consulter et agir que sur les données de son périmètre (cellule, service ou direction), appliqué au niveau de la base de données elle-même</w:t>
      </w:r>
    </w:p>
    <w:p>
      <w:pPr>
        <w:pStyle w:val="ListParagraph"/>
        <w:numPr>
          <w:ilvl w:val="0"/>
          <w:numId w:val="2"/>
        </w:numPr>
        <w:spacing w:after="60"/>
      </w:pPr>
      <w:r>
        <w:rPr>
          <w:rFonts w:ascii="Calibri" w:cs="Calibri" w:eastAsia="Calibri" w:hAnsi="Calibri"/>
          <w:b/>
          <w:bCs/>
          <w:color w:val="1E293B"/>
          <w:sz w:val="21"/>
          <w:szCs w:val="21"/>
        </w:rPr>
        <w:t xml:space="preserve">Authentification</w:t>
      </w:r>
      <w:r>
        <w:rPr>
          <w:rFonts w:ascii="Calibri" w:cs="Calibri" w:eastAsia="Calibri" w:hAnsi="Calibri"/>
          <w:color w:val="1E293B"/>
          <w:sz w:val="21"/>
          <w:szCs w:val="21"/>
        </w:rPr>
        <w:t xml:space="preserve"> — authentification individuelle, mot de passe initial à changer obligatoirement à la première connexion, déconnexion automatique après une période d'inactivité paramétrable</w:t>
      </w:r>
    </w:p>
    <w:p>
      <w:pPr>
        <w:pStyle w:val="ListParagraph"/>
        <w:numPr>
          <w:ilvl w:val="0"/>
          <w:numId w:val="2"/>
        </w:numPr>
        <w:spacing w:after="60"/>
      </w:pPr>
      <w:r>
        <w:rPr>
          <w:rFonts w:ascii="Calibri" w:cs="Calibri" w:eastAsia="Calibri" w:hAnsi="Calibri"/>
          <w:b/>
          <w:bCs/>
          <w:color w:val="1E293B"/>
          <w:sz w:val="21"/>
          <w:szCs w:val="21"/>
        </w:rPr>
        <w:t xml:space="preserve">Historique inaltérable</w:t>
      </w:r>
      <w:r>
        <w:rPr>
          <w:rFonts w:ascii="Calibri" w:cs="Calibri" w:eastAsia="Calibri" w:hAnsi="Calibri"/>
          <w:color w:val="1E293B"/>
          <w:sz w:val="21"/>
          <w:szCs w:val="21"/>
        </w:rPr>
        <w:t xml:space="preserve"> — chaque validation, rejet, transmission ou modification est daté et attribué à son auteur réel, y compris en suppléance</w:t>
      </w:r>
    </w:p>
    <w:p>
      <w:pPr>
        <w:pStyle w:val="ListParagraph"/>
        <w:numPr>
          <w:ilvl w:val="0"/>
          <w:numId w:val="2"/>
        </w:numPr>
        <w:spacing w:after="60"/>
      </w:pPr>
      <w:r>
        <w:rPr>
          <w:rFonts w:ascii="Calibri" w:cs="Calibri" w:eastAsia="Calibri" w:hAnsi="Calibri"/>
          <w:b/>
          <w:bCs/>
          <w:color w:val="1E293B"/>
          <w:sz w:val="21"/>
          <w:szCs w:val="21"/>
        </w:rPr>
        <w:t xml:space="preserve">Administration encadrée</w:t>
      </w:r>
      <w:r>
        <w:rPr>
          <w:rFonts w:ascii="Calibri" w:cs="Calibri" w:eastAsia="Calibri" w:hAnsi="Calibri"/>
          <w:color w:val="1E293B"/>
          <w:sz w:val="21"/>
          <w:szCs w:val="21"/>
        </w:rPr>
        <w:t xml:space="preserve"> — les comptes et rôles (RC, CDS, CB, DS) sont administrés par les rôles ADMIN_SERVICE et ADMIN_APP, jamais par les utilisateurs eux-mêmes</w:t>
      </w:r>
    </w:p>
    <w:p>
      <w:pPr>
        <w:pStyle w:val="Heading2"/>
        <w:spacing w:after="100" w:before="220"/>
      </w:pPr>
      <w:r>
        <w:rPr>
          <w:rFonts w:ascii="Calibri" w:cs="Calibri" w:eastAsia="Calibri" w:hAnsi="Calibri"/>
          <w:b/>
          <w:bCs/>
          <w:color w:val="013F76"/>
          <w:sz w:val="24"/>
          <w:szCs w:val="24"/>
        </w:rPr>
        <w:t xml:space="preserve">Pour aller plus loin</w:t>
      </w:r>
    </w:p>
    <w:p>
      <w:pPr>
        <w:spacing w:after="120"/>
      </w:pPr>
      <w:r>
        <w:rPr>
          <w:rFonts w:ascii="Calibri" w:cs="Calibri" w:eastAsia="Calibri" w:hAnsi="Calibri"/>
          <w:color w:val="1E293B"/>
          <w:sz w:val="21"/>
          <w:szCs w:val="21"/>
        </w:rPr>
        <w:t xml:space="preserve">Un manuel d'utilisation détaillé, complété au fil du développement de l'application, est accessible directement depuis VIGIE (onglet « Manuel ») : il décrit pas à pas chaque écran, dans le contexte réel de son utilisation.</w:t>
      </w:r>
    </w:p>
    <w:p>
      <w:pPr>
        <w:pBdr>
          <w:top w:val="single" w:color="D8E0E8" w:sz="4" w:space="12"/>
        </w:pBdr>
        <w:spacing w:before="320"/>
        <w:jc w:val="center"/>
      </w:pPr>
    </w:p>
    <w:p>
      <w:pPr>
        <w:spacing w:before="200"/>
        <w:jc w:val="center"/>
      </w:pPr>
      <w:r>
        <w:rPr>
          <w:rFonts w:ascii="Calibri" w:cs="Calibri" w:eastAsia="Calibri" w:hAnsi="Calibri"/>
          <w:color w:val="475569"/>
          <w:sz w:val="18"/>
          <w:szCs w:val="18"/>
        </w:rPr>
        <w:t xml:space="preserve">VIGIE — Grand Port Maritime de Marseille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8" w:sz="2" w:space="4"/>
      </w:pBdr>
      <w:jc w:val="right"/>
    </w:pPr>
    <w:r>
      <w:rPr>
        <w:rFonts w:ascii="Calibri" w:cs="Calibri" w:eastAsia="Calibri" w:hAnsi="Calibri"/>
        <w:color w:val="475569"/>
        <w:sz w:val="16"/>
        <w:szCs w:val="16"/>
      </w:rPr>
      <w:t xml:space="preserve">VIGIE — Plaquette de présentation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1e900818c768f73352498fc86e33e66fa344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2026-09-23T11:16:13.358Z</dcterms:created>
  <dcterms:modified xsi:type="dcterms:W3CDTF">2026-09-23T11:16:13.359Z</dcterms:modified>
</cp:coreProperties>
</file>

<file path=docProps/custom.xml><?xml version="1.0" encoding="utf-8"?>
<Properties xmlns="http://schemas.openxmlformats.org/officeDocument/2006/custom-properties" xmlns:vt="http://schemas.openxmlformats.org/officeDocument/2006/docPropsVTypes"/>
</file>