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34FF0" w14:textId="4E7B488F" w:rsidR="008011AA" w:rsidRDefault="008011AA" w:rsidP="00032806">
      <w:pPr>
        <w:jc w:val="center"/>
        <w:rPr>
          <w:lang w:val="fr-FR"/>
        </w:rPr>
      </w:pPr>
    </w:p>
    <w:p w14:paraId="6A9B84B1" w14:textId="6B3E65F8" w:rsidR="00032806" w:rsidRDefault="00032806" w:rsidP="00032806">
      <w:pPr>
        <w:jc w:val="center"/>
        <w:rPr>
          <w:lang w:val="fr-FR"/>
        </w:rPr>
      </w:pPr>
    </w:p>
    <w:p w14:paraId="53DADBF8" w14:textId="0E35A31F" w:rsidR="00032806" w:rsidRDefault="00032806" w:rsidP="00032806">
      <w:pPr>
        <w:jc w:val="center"/>
        <w:rPr>
          <w:lang w:val="fr-FR"/>
        </w:rPr>
      </w:pPr>
    </w:p>
    <w:p w14:paraId="3ABF9090" w14:textId="6219B5E8" w:rsidR="00032806" w:rsidRDefault="00032806" w:rsidP="00032806">
      <w:pPr>
        <w:jc w:val="center"/>
        <w:rPr>
          <w:lang w:val="fr-FR"/>
        </w:rPr>
      </w:pPr>
    </w:p>
    <w:p w14:paraId="0F647E12" w14:textId="1D452486" w:rsidR="00032806" w:rsidRDefault="00032806" w:rsidP="00032806">
      <w:pPr>
        <w:jc w:val="center"/>
        <w:rPr>
          <w:lang w:val="fr-FR"/>
        </w:rPr>
      </w:pPr>
    </w:p>
    <w:p w14:paraId="0096F410" w14:textId="3A1DB2F3" w:rsidR="00032806" w:rsidRDefault="00032806" w:rsidP="00032806">
      <w:pPr>
        <w:jc w:val="center"/>
        <w:rPr>
          <w:lang w:val="fr-FR"/>
        </w:rPr>
      </w:pPr>
    </w:p>
    <w:p w14:paraId="2066E368" w14:textId="262EC488" w:rsidR="00032806" w:rsidRDefault="00032806" w:rsidP="00032806">
      <w:pPr>
        <w:jc w:val="center"/>
        <w:rPr>
          <w:lang w:val="fr-FR"/>
        </w:rPr>
      </w:pPr>
    </w:p>
    <w:p w14:paraId="6B364E46" w14:textId="1D65CE77" w:rsidR="00032806" w:rsidRDefault="00032806" w:rsidP="00032806">
      <w:pPr>
        <w:jc w:val="center"/>
        <w:rPr>
          <w:lang w:val="fr-FR"/>
        </w:rPr>
      </w:pPr>
    </w:p>
    <w:p w14:paraId="65AE6898" w14:textId="6EEF865A" w:rsidR="00032806" w:rsidRDefault="00032806" w:rsidP="00032806">
      <w:pPr>
        <w:jc w:val="center"/>
        <w:rPr>
          <w:lang w:val="fr-FR"/>
        </w:rPr>
      </w:pPr>
    </w:p>
    <w:p w14:paraId="7602238D" w14:textId="4B1AD7FA" w:rsidR="00032806" w:rsidRDefault="00032806" w:rsidP="00032806">
      <w:pPr>
        <w:jc w:val="center"/>
        <w:rPr>
          <w:lang w:val="fr-FR"/>
        </w:rPr>
      </w:pPr>
    </w:p>
    <w:p w14:paraId="5FDC601E" w14:textId="246057FC" w:rsidR="00032806" w:rsidRDefault="00032806" w:rsidP="00032806">
      <w:pPr>
        <w:jc w:val="center"/>
        <w:rPr>
          <w:lang w:val="fr-FR"/>
        </w:rPr>
      </w:pPr>
    </w:p>
    <w:p w14:paraId="1F1C2668" w14:textId="77777777" w:rsidR="00032806" w:rsidRPr="00032806" w:rsidRDefault="00032806" w:rsidP="00032806">
      <w:pPr>
        <w:jc w:val="center"/>
        <w:rPr>
          <w:b/>
          <w:bCs/>
          <w:sz w:val="72"/>
          <w:szCs w:val="72"/>
          <w:lang w:val="fr-FR"/>
        </w:rPr>
      </w:pPr>
    </w:p>
    <w:p w14:paraId="56F3B522" w14:textId="15FA1EAE" w:rsidR="008011AA" w:rsidRPr="00B86A3A" w:rsidRDefault="008011AA" w:rsidP="00032806">
      <w:pPr>
        <w:jc w:val="center"/>
        <w:rPr>
          <w:b/>
          <w:bCs/>
          <w:i/>
          <w:iCs/>
          <w:sz w:val="72"/>
          <w:szCs w:val="72"/>
        </w:rPr>
      </w:pPr>
      <w:proofErr w:type="spellStart"/>
      <w:r w:rsidRPr="00B86A3A">
        <w:rPr>
          <w:b/>
          <w:bCs/>
          <w:i/>
          <w:iCs/>
          <w:sz w:val="72"/>
          <w:szCs w:val="72"/>
        </w:rPr>
        <w:t>CoreCruncher</w:t>
      </w:r>
      <w:proofErr w:type="spellEnd"/>
    </w:p>
    <w:p w14:paraId="3777A3D9" w14:textId="77777777" w:rsidR="00032806" w:rsidRPr="00B86A3A" w:rsidRDefault="00032806" w:rsidP="00032806">
      <w:pPr>
        <w:jc w:val="center"/>
        <w:rPr>
          <w:b/>
          <w:bCs/>
          <w:sz w:val="72"/>
          <w:szCs w:val="72"/>
        </w:rPr>
      </w:pPr>
    </w:p>
    <w:p w14:paraId="5773B0FD" w14:textId="77777777" w:rsidR="008011AA" w:rsidRPr="00B86A3A" w:rsidRDefault="008011AA" w:rsidP="00032806">
      <w:pPr>
        <w:jc w:val="center"/>
        <w:rPr>
          <w:b/>
          <w:bCs/>
          <w:sz w:val="72"/>
          <w:szCs w:val="72"/>
        </w:rPr>
      </w:pPr>
    </w:p>
    <w:p w14:paraId="6A7EE85B" w14:textId="3BB4D5B8" w:rsidR="001A1BFD" w:rsidRPr="00B86A3A" w:rsidRDefault="008011AA" w:rsidP="00032806">
      <w:pPr>
        <w:jc w:val="center"/>
        <w:rPr>
          <w:b/>
          <w:bCs/>
          <w:sz w:val="72"/>
          <w:szCs w:val="72"/>
        </w:rPr>
      </w:pPr>
      <w:r w:rsidRPr="00B86A3A">
        <w:rPr>
          <w:b/>
          <w:bCs/>
          <w:sz w:val="72"/>
          <w:szCs w:val="72"/>
        </w:rPr>
        <w:t>User Manual</w:t>
      </w:r>
    </w:p>
    <w:p w14:paraId="2377D04F" w14:textId="467F1FB8" w:rsidR="008011AA" w:rsidRPr="00B86A3A" w:rsidRDefault="008011AA" w:rsidP="00032806">
      <w:pPr>
        <w:jc w:val="center"/>
      </w:pPr>
    </w:p>
    <w:p w14:paraId="15F0B874" w14:textId="4EE0EF1D" w:rsidR="008011AA" w:rsidRPr="00B86A3A" w:rsidRDefault="008011AA" w:rsidP="00032806">
      <w:pPr>
        <w:jc w:val="center"/>
      </w:pPr>
    </w:p>
    <w:p w14:paraId="2642157C" w14:textId="503F09BE" w:rsidR="008011AA" w:rsidRPr="00B86A3A" w:rsidRDefault="008011AA" w:rsidP="00032806">
      <w:pPr>
        <w:jc w:val="center"/>
      </w:pPr>
    </w:p>
    <w:p w14:paraId="1D6593BE" w14:textId="5CE1B212" w:rsidR="008011AA" w:rsidRPr="00B86A3A" w:rsidRDefault="008011AA"/>
    <w:p w14:paraId="59793268" w14:textId="5044AEEA" w:rsidR="008011AA" w:rsidRPr="00B86A3A" w:rsidRDefault="008011AA"/>
    <w:p w14:paraId="75F71F45" w14:textId="2D5FDC2A" w:rsidR="00032806" w:rsidRPr="00B86A3A" w:rsidRDefault="00032806">
      <w:r w:rsidRPr="00B86A3A">
        <w:br w:type="page"/>
      </w:r>
    </w:p>
    <w:p w14:paraId="1D517B2E" w14:textId="4AC3B6D1" w:rsidR="00200520" w:rsidRPr="00B86A3A" w:rsidRDefault="00200520">
      <w:pPr>
        <w:rPr>
          <w:b/>
          <w:bCs/>
        </w:rPr>
      </w:pPr>
      <w:r w:rsidRPr="00B86A3A">
        <w:rPr>
          <w:b/>
          <w:bCs/>
        </w:rPr>
        <w:lastRenderedPageBreak/>
        <w:t>Authors</w:t>
      </w:r>
    </w:p>
    <w:p w14:paraId="51493E86" w14:textId="01F08947" w:rsidR="00200520" w:rsidRPr="00B86A3A" w:rsidRDefault="00200520">
      <w:pPr>
        <w:rPr>
          <w:b/>
          <w:bCs/>
        </w:rPr>
      </w:pPr>
    </w:p>
    <w:p w14:paraId="03CF202B" w14:textId="497FB3DB" w:rsidR="00200520" w:rsidRDefault="00200520">
      <w:r w:rsidRPr="00200520">
        <w:t>Connor</w:t>
      </w:r>
      <w:r w:rsidR="00B95040">
        <w:t xml:space="preserve"> D.</w:t>
      </w:r>
      <w:r w:rsidRPr="00200520">
        <w:t xml:space="preserve"> Harris, </w:t>
      </w:r>
      <w:r w:rsidR="001B2203">
        <w:t xml:space="preserve">Ellis L. Torrance, </w:t>
      </w:r>
      <w:r w:rsidRPr="00200520">
        <w:t xml:space="preserve">Kasie </w:t>
      </w:r>
      <w:proofErr w:type="spellStart"/>
      <w:r w:rsidRPr="00200520">
        <w:t>Raymann</w:t>
      </w:r>
      <w:proofErr w:type="spellEnd"/>
      <w:r w:rsidRPr="00200520">
        <w:t xml:space="preserve"> and Louis-Marie </w:t>
      </w:r>
      <w:proofErr w:type="spellStart"/>
      <w:r w:rsidRPr="00200520">
        <w:t>Bobay</w:t>
      </w:r>
      <w:proofErr w:type="spellEnd"/>
    </w:p>
    <w:p w14:paraId="1D958975" w14:textId="0CC708DA" w:rsidR="00064B32" w:rsidRDefault="00064B32"/>
    <w:p w14:paraId="4AAB4147" w14:textId="64A16F3E" w:rsidR="00064B32" w:rsidRPr="00064B32" w:rsidRDefault="00064B32">
      <w:pPr>
        <w:rPr>
          <w:b/>
          <w:bCs/>
        </w:rPr>
      </w:pPr>
      <w:r w:rsidRPr="00064B32">
        <w:rPr>
          <w:b/>
          <w:bCs/>
        </w:rPr>
        <w:t>Citation</w:t>
      </w:r>
    </w:p>
    <w:p w14:paraId="4CEC5E34" w14:textId="77777777" w:rsidR="00200520" w:rsidRPr="00200520" w:rsidRDefault="00200520">
      <w:pPr>
        <w:rPr>
          <w:b/>
          <w:bCs/>
        </w:rPr>
      </w:pPr>
    </w:p>
    <w:p w14:paraId="09B1A87B" w14:textId="1E000F93" w:rsidR="00200520" w:rsidRDefault="00064B32">
      <w:r w:rsidRPr="00064B32">
        <w:t>Please cite:</w:t>
      </w:r>
      <w:r w:rsidR="00C25481">
        <w:t xml:space="preserve"> </w:t>
      </w:r>
      <w:r w:rsidR="00E15E7A">
        <w:t>(paper not published yet)</w:t>
      </w:r>
    </w:p>
    <w:p w14:paraId="72C30649" w14:textId="3ED523E5" w:rsidR="0052735A" w:rsidRDefault="0052735A"/>
    <w:p w14:paraId="11CEDF09" w14:textId="716E13BE" w:rsidR="0052735A" w:rsidRPr="0052735A" w:rsidRDefault="0052735A">
      <w:pPr>
        <w:rPr>
          <w:b/>
          <w:bCs/>
        </w:rPr>
      </w:pPr>
      <w:r w:rsidRPr="0052735A">
        <w:rPr>
          <w:b/>
          <w:bCs/>
        </w:rPr>
        <w:t>Contact</w:t>
      </w:r>
    </w:p>
    <w:p w14:paraId="26F856F0" w14:textId="202BF2DB" w:rsidR="0052735A" w:rsidRDefault="0052735A"/>
    <w:p w14:paraId="511081D7" w14:textId="24A86C81" w:rsidR="0052735A" w:rsidRPr="00064B32" w:rsidRDefault="00FD1869">
      <w:proofErr w:type="spellStart"/>
      <w:r>
        <w:t>l</w:t>
      </w:r>
      <w:r w:rsidR="0052735A">
        <w:t>jbobay</w:t>
      </w:r>
      <w:proofErr w:type="spellEnd"/>
      <w:r>
        <w:t xml:space="preserve"> [at] </w:t>
      </w:r>
      <w:proofErr w:type="spellStart"/>
      <w:r w:rsidR="0052735A">
        <w:t>uncg</w:t>
      </w:r>
      <w:proofErr w:type="spellEnd"/>
      <w:r>
        <w:t xml:space="preserve"> [dot] </w:t>
      </w:r>
      <w:proofErr w:type="spellStart"/>
      <w:r w:rsidR="0052735A">
        <w:t>edu</w:t>
      </w:r>
      <w:proofErr w:type="spellEnd"/>
    </w:p>
    <w:p w14:paraId="33EA41EF" w14:textId="77777777" w:rsidR="00200520" w:rsidRPr="00200520" w:rsidRDefault="00200520">
      <w:pPr>
        <w:rPr>
          <w:b/>
          <w:bCs/>
        </w:rPr>
      </w:pPr>
    </w:p>
    <w:p w14:paraId="518DF84B" w14:textId="7F993745" w:rsidR="002C267D" w:rsidRPr="00200520" w:rsidRDefault="005D1B50">
      <w:pPr>
        <w:rPr>
          <w:b/>
          <w:bCs/>
        </w:rPr>
      </w:pPr>
      <w:r w:rsidRPr="00200520">
        <w:rPr>
          <w:b/>
          <w:bCs/>
        </w:rPr>
        <w:t>Requirements</w:t>
      </w:r>
      <w:r w:rsidR="00F024DB" w:rsidRPr="00200520">
        <w:rPr>
          <w:b/>
          <w:bCs/>
        </w:rPr>
        <w:t xml:space="preserve"> and basic information</w:t>
      </w:r>
    </w:p>
    <w:p w14:paraId="3FB2AF73" w14:textId="77777777" w:rsidR="000D7DD9" w:rsidRPr="002C267D" w:rsidRDefault="000D7DD9" w:rsidP="002C267D"/>
    <w:p w14:paraId="4B2529CB" w14:textId="0AEF8CD5" w:rsidR="002C267D" w:rsidRPr="002C267D" w:rsidRDefault="002C267D" w:rsidP="002C267D">
      <w:r w:rsidRPr="002C267D">
        <w:t xml:space="preserve">Requires </w:t>
      </w:r>
      <w:proofErr w:type="spellStart"/>
      <w:r w:rsidRPr="005147C4">
        <w:rPr>
          <w:b/>
          <w:bCs/>
        </w:rPr>
        <w:t>Usearch</w:t>
      </w:r>
      <w:proofErr w:type="spellEnd"/>
      <w:r w:rsidRPr="002C267D">
        <w:t xml:space="preserve"> or </w:t>
      </w:r>
      <w:r w:rsidRPr="005147C4">
        <w:rPr>
          <w:b/>
          <w:bCs/>
        </w:rPr>
        <w:t>BLAST</w:t>
      </w:r>
      <w:r w:rsidRPr="002C267D">
        <w:t xml:space="preserve"> (tested successfully with BLAST 2.7.1+)</w:t>
      </w:r>
    </w:p>
    <w:p w14:paraId="6BC11CF2" w14:textId="5634BFEE" w:rsidR="002C267D" w:rsidRDefault="002C267D" w:rsidP="002C267D">
      <w:r w:rsidRPr="002C267D">
        <w:t>Please download USEARCH: https://www.drive5.com/usearch/ or BLAST</w:t>
      </w:r>
    </w:p>
    <w:p w14:paraId="40B3EE0B" w14:textId="51BFFB01" w:rsidR="00ED324A" w:rsidRDefault="00ED324A" w:rsidP="002C267D"/>
    <w:p w14:paraId="0FB01A5B" w14:textId="77777777" w:rsidR="00ED324A" w:rsidRPr="002C267D" w:rsidRDefault="00ED324A" w:rsidP="00ED324A">
      <w:r w:rsidRPr="002C267D">
        <w:t>################################################################</w:t>
      </w:r>
    </w:p>
    <w:p w14:paraId="71EFD6C5" w14:textId="77777777" w:rsidR="00ED324A" w:rsidRPr="00721256" w:rsidRDefault="00ED324A" w:rsidP="00ED324A">
      <w:pPr>
        <w:rPr>
          <w:b/>
          <w:bCs/>
        </w:rPr>
      </w:pPr>
      <w:r w:rsidRPr="00721256">
        <w:rPr>
          <w:b/>
          <w:bCs/>
        </w:rPr>
        <w:t xml:space="preserve">IMPORTANT: Rename the </w:t>
      </w:r>
      <w:proofErr w:type="spellStart"/>
      <w:r w:rsidRPr="00721256">
        <w:rPr>
          <w:b/>
          <w:bCs/>
        </w:rPr>
        <w:t>usearch</w:t>
      </w:r>
      <w:proofErr w:type="spellEnd"/>
      <w:r w:rsidRPr="00721256">
        <w:rPr>
          <w:b/>
          <w:bCs/>
        </w:rPr>
        <w:t xml:space="preserve"> executable 'usearch61'</w:t>
      </w:r>
    </w:p>
    <w:p w14:paraId="190F28DF" w14:textId="77777777" w:rsidR="00ED324A" w:rsidRPr="00721256" w:rsidRDefault="00ED324A" w:rsidP="00ED324A">
      <w:pPr>
        <w:rPr>
          <w:b/>
          <w:bCs/>
        </w:rPr>
      </w:pPr>
      <w:r w:rsidRPr="00721256">
        <w:rPr>
          <w:b/>
          <w:bCs/>
        </w:rPr>
        <w:t>copy or move usearch61 into /</w:t>
      </w:r>
      <w:proofErr w:type="spellStart"/>
      <w:r w:rsidRPr="00721256">
        <w:rPr>
          <w:b/>
          <w:bCs/>
        </w:rPr>
        <w:t>usr</w:t>
      </w:r>
      <w:proofErr w:type="spellEnd"/>
      <w:r w:rsidRPr="00721256">
        <w:rPr>
          <w:b/>
          <w:bCs/>
        </w:rPr>
        <w:t>/local/bin/</w:t>
      </w:r>
    </w:p>
    <w:p w14:paraId="759FBCAA" w14:textId="77777777" w:rsidR="00ED324A" w:rsidRPr="00721256" w:rsidRDefault="00ED324A" w:rsidP="00ED324A">
      <w:pPr>
        <w:rPr>
          <w:b/>
          <w:bCs/>
        </w:rPr>
      </w:pPr>
      <w:r w:rsidRPr="00721256">
        <w:rPr>
          <w:b/>
          <w:bCs/>
        </w:rPr>
        <w:t>Or change the lines 176 to 181 in the script usearch_core.py</w:t>
      </w:r>
    </w:p>
    <w:p w14:paraId="4D0D3B7D" w14:textId="57E0B6E9" w:rsidR="00ED324A" w:rsidRPr="002C267D" w:rsidRDefault="00ED324A" w:rsidP="002C267D">
      <w:r w:rsidRPr="002C267D">
        <w:t>################################################################</w:t>
      </w:r>
    </w:p>
    <w:p w14:paraId="6A8065B3" w14:textId="77777777" w:rsidR="002C267D" w:rsidRPr="002C267D" w:rsidRDefault="002C267D" w:rsidP="002C267D"/>
    <w:p w14:paraId="5ACA728C" w14:textId="77777777" w:rsidR="002C267D" w:rsidRPr="002C267D" w:rsidRDefault="002C267D" w:rsidP="002C267D">
      <w:r w:rsidRPr="002C267D">
        <w:t>OPTIONAL: can align core genomes and provide sequence concatenate if alignment program is available</w:t>
      </w:r>
    </w:p>
    <w:p w14:paraId="23993BA1" w14:textId="77777777" w:rsidR="002C267D" w:rsidRPr="002C267D" w:rsidRDefault="002C267D" w:rsidP="002C267D">
      <w:r w:rsidRPr="002C267D">
        <w:t xml:space="preserve">Alignment program </w:t>
      </w:r>
      <w:r w:rsidRPr="008452A3">
        <w:rPr>
          <w:b/>
          <w:bCs/>
        </w:rPr>
        <w:t>muscle</w:t>
      </w:r>
      <w:r w:rsidRPr="002C267D">
        <w:t xml:space="preserve"> or </w:t>
      </w:r>
      <w:proofErr w:type="spellStart"/>
      <w:r w:rsidRPr="008452A3">
        <w:rPr>
          <w:b/>
          <w:bCs/>
        </w:rPr>
        <w:t>mafft</w:t>
      </w:r>
      <w:proofErr w:type="spellEnd"/>
      <w:r w:rsidRPr="002C267D">
        <w:t xml:space="preserve"> must be executable and in /</w:t>
      </w:r>
      <w:proofErr w:type="spellStart"/>
      <w:r w:rsidRPr="002C267D">
        <w:t>usr</w:t>
      </w:r>
      <w:proofErr w:type="spellEnd"/>
      <w:r w:rsidRPr="002C267D">
        <w:t>/local/bin</w:t>
      </w:r>
    </w:p>
    <w:p w14:paraId="48915000" w14:textId="77777777" w:rsidR="002C267D" w:rsidRPr="002C267D" w:rsidRDefault="002C267D" w:rsidP="002C267D"/>
    <w:p w14:paraId="0ED8DD3F" w14:textId="77777777" w:rsidR="002C267D" w:rsidRPr="002C267D" w:rsidRDefault="002C267D" w:rsidP="002C267D"/>
    <w:p w14:paraId="30AC6D4A" w14:textId="77777777" w:rsidR="002C267D" w:rsidRPr="002C267D" w:rsidRDefault="002C267D" w:rsidP="002C267D">
      <w:r w:rsidRPr="002C267D">
        <w:t xml:space="preserve">Requires the python library </w:t>
      </w:r>
      <w:proofErr w:type="spellStart"/>
      <w:r w:rsidRPr="002C267D">
        <w:t>numpy</w:t>
      </w:r>
      <w:proofErr w:type="spellEnd"/>
    </w:p>
    <w:p w14:paraId="61E97A96" w14:textId="77777777" w:rsidR="002C267D" w:rsidRPr="002C267D" w:rsidRDefault="002C267D" w:rsidP="002C267D"/>
    <w:p w14:paraId="5510AA00" w14:textId="77777777" w:rsidR="002C267D" w:rsidRPr="002C267D" w:rsidRDefault="002C267D" w:rsidP="002C267D">
      <w:r w:rsidRPr="002C267D">
        <w:t>Simple example:</w:t>
      </w:r>
    </w:p>
    <w:p w14:paraId="1B3DDCA0" w14:textId="7060A40E" w:rsidR="002C267D" w:rsidRPr="004F6F5E" w:rsidRDefault="001A6E6F" w:rsidP="002C267D">
      <w:pPr>
        <w:rPr>
          <w:b/>
          <w:bCs/>
        </w:rPr>
      </w:pPr>
      <w:proofErr w:type="gramStart"/>
      <w:r w:rsidRPr="001A6E6F">
        <w:rPr>
          <w:b/>
          <w:bCs/>
          <w:color w:val="C00000"/>
        </w:rPr>
        <w:t>p</w:t>
      </w:r>
      <w:r w:rsidR="002C267D" w:rsidRPr="001A6E6F">
        <w:rPr>
          <w:b/>
          <w:bCs/>
          <w:color w:val="C00000"/>
        </w:rPr>
        <w:t>ython</w:t>
      </w:r>
      <w:r w:rsidRPr="001A6E6F">
        <w:rPr>
          <w:b/>
          <w:bCs/>
          <w:color w:val="C00000"/>
        </w:rPr>
        <w:t xml:space="preserve"> </w:t>
      </w:r>
      <w:r w:rsidR="002C267D" w:rsidRPr="001A6E6F">
        <w:rPr>
          <w:b/>
          <w:bCs/>
          <w:color w:val="C00000"/>
        </w:rPr>
        <w:t xml:space="preserve"> </w:t>
      </w:r>
      <w:r w:rsidR="0047681C" w:rsidRPr="001A6E6F">
        <w:rPr>
          <w:b/>
          <w:bCs/>
          <w:color w:val="C00000"/>
        </w:rPr>
        <w:t>corecruncher_</w:t>
      </w:r>
      <w:r w:rsidR="002C267D" w:rsidRPr="001A6E6F">
        <w:rPr>
          <w:b/>
          <w:bCs/>
          <w:color w:val="C00000"/>
        </w:rPr>
        <w:t>master.py</w:t>
      </w:r>
      <w:proofErr w:type="gramEnd"/>
      <w:r w:rsidR="002C267D" w:rsidRPr="001A6E6F">
        <w:rPr>
          <w:b/>
          <w:bCs/>
          <w:color w:val="C00000"/>
        </w:rPr>
        <w:t xml:space="preserve"> </w:t>
      </w:r>
      <w:r w:rsidRPr="001A6E6F">
        <w:rPr>
          <w:b/>
          <w:bCs/>
          <w:color w:val="C00000"/>
        </w:rPr>
        <w:t xml:space="preserve"> </w:t>
      </w:r>
      <w:r w:rsidR="002C267D" w:rsidRPr="001A6E6F">
        <w:rPr>
          <w:b/>
          <w:bCs/>
          <w:color w:val="C00000"/>
        </w:rPr>
        <w:t xml:space="preserve">-in </w:t>
      </w:r>
      <w:proofErr w:type="spellStart"/>
      <w:r w:rsidR="00F56F45">
        <w:rPr>
          <w:b/>
          <w:bCs/>
          <w:color w:val="C00000"/>
        </w:rPr>
        <w:t>input_folder</w:t>
      </w:r>
      <w:proofErr w:type="spellEnd"/>
      <w:r w:rsidR="002C267D" w:rsidRPr="001A6E6F">
        <w:rPr>
          <w:b/>
          <w:bCs/>
          <w:color w:val="C00000"/>
        </w:rPr>
        <w:t xml:space="preserve"> </w:t>
      </w:r>
      <w:r w:rsidRPr="001A6E6F">
        <w:rPr>
          <w:b/>
          <w:bCs/>
          <w:color w:val="C00000"/>
        </w:rPr>
        <w:t xml:space="preserve"> </w:t>
      </w:r>
      <w:r w:rsidR="002C267D" w:rsidRPr="001A6E6F">
        <w:rPr>
          <w:b/>
          <w:bCs/>
          <w:color w:val="C00000"/>
        </w:rPr>
        <w:t xml:space="preserve">-out </w:t>
      </w:r>
      <w:r w:rsidRPr="001A6E6F">
        <w:rPr>
          <w:b/>
          <w:bCs/>
          <w:color w:val="C00000"/>
        </w:rPr>
        <w:t xml:space="preserve"> </w:t>
      </w:r>
      <w:proofErr w:type="spellStart"/>
      <w:r w:rsidR="002C267D" w:rsidRPr="001A6E6F">
        <w:rPr>
          <w:b/>
          <w:bCs/>
          <w:color w:val="C00000"/>
        </w:rPr>
        <w:t>out_folder</w:t>
      </w:r>
      <w:proofErr w:type="spellEnd"/>
    </w:p>
    <w:p w14:paraId="371D3D59" w14:textId="77C745E9" w:rsidR="002C267D" w:rsidRPr="002C267D" w:rsidRDefault="002C267D" w:rsidP="002C267D"/>
    <w:p w14:paraId="32D1FFE5" w14:textId="3D52BE98" w:rsidR="002C267D" w:rsidRPr="002C267D" w:rsidRDefault="002C267D" w:rsidP="002C267D"/>
    <w:p w14:paraId="2A66B539" w14:textId="414303AE" w:rsidR="002C267D" w:rsidRPr="002C267D" w:rsidRDefault="002C267D" w:rsidP="002C267D"/>
    <w:p w14:paraId="42F0F7FD" w14:textId="31666D38" w:rsidR="002C267D" w:rsidRPr="002C267D" w:rsidRDefault="002C267D" w:rsidP="002C267D"/>
    <w:p w14:paraId="4178BBAF" w14:textId="4FC50735" w:rsidR="002C267D" w:rsidRPr="002C267D" w:rsidRDefault="002C267D" w:rsidP="002C267D"/>
    <w:p w14:paraId="54B265E7" w14:textId="5AFC2D1A" w:rsidR="002C267D" w:rsidRPr="002C267D" w:rsidRDefault="002C267D" w:rsidP="002C267D"/>
    <w:p w14:paraId="175B24A6" w14:textId="1E99C4DB" w:rsidR="002C267D" w:rsidRPr="002C267D" w:rsidRDefault="002C267D" w:rsidP="002C267D"/>
    <w:p w14:paraId="0C21C327" w14:textId="06486E7C" w:rsidR="002C267D" w:rsidRPr="002C267D" w:rsidRDefault="002C267D" w:rsidP="002C267D"/>
    <w:p w14:paraId="23C3512F" w14:textId="170E2C27" w:rsidR="002C267D" w:rsidRPr="002C267D" w:rsidRDefault="002C267D" w:rsidP="002C267D"/>
    <w:p w14:paraId="15C090DD" w14:textId="178226B5" w:rsidR="002C267D" w:rsidRPr="002C267D" w:rsidRDefault="002C267D" w:rsidP="002C267D"/>
    <w:p w14:paraId="7713BEF9" w14:textId="4B9252C3" w:rsidR="002C267D" w:rsidRPr="002C267D" w:rsidRDefault="002C267D" w:rsidP="002C267D"/>
    <w:p w14:paraId="695108C2" w14:textId="64C9FC1A" w:rsidR="002C267D" w:rsidRDefault="002C267D" w:rsidP="002C267D"/>
    <w:p w14:paraId="33D9546D" w14:textId="1083EE9B" w:rsidR="002C267D" w:rsidRPr="004F5F77" w:rsidRDefault="00C5704A" w:rsidP="002C267D">
      <w:pPr>
        <w:rPr>
          <w:b/>
          <w:bCs/>
        </w:rPr>
      </w:pPr>
      <w:r w:rsidRPr="004F5F77">
        <w:rPr>
          <w:b/>
          <w:bCs/>
        </w:rPr>
        <w:lastRenderedPageBreak/>
        <w:t>Required arguments:</w:t>
      </w:r>
    </w:p>
    <w:p w14:paraId="536338F7" w14:textId="208D44B5" w:rsidR="00C5704A" w:rsidRDefault="00C5704A" w:rsidP="002C267D"/>
    <w:p w14:paraId="66919996" w14:textId="7ABDF46B" w:rsidR="00C5704A" w:rsidRDefault="00C5704A" w:rsidP="002C267D"/>
    <w:tbl>
      <w:tblPr>
        <w:tblStyle w:val="TableGrid"/>
        <w:tblW w:w="0" w:type="auto"/>
        <w:tblLook w:val="04A0" w:firstRow="1" w:lastRow="0" w:firstColumn="1" w:lastColumn="0" w:noHBand="0" w:noVBand="1"/>
      </w:tblPr>
      <w:tblGrid>
        <w:gridCol w:w="1255"/>
        <w:gridCol w:w="2070"/>
        <w:gridCol w:w="6025"/>
      </w:tblGrid>
      <w:tr w:rsidR="00C5704A" w14:paraId="51C59545" w14:textId="77777777" w:rsidTr="00C5704A">
        <w:tc>
          <w:tcPr>
            <w:tcW w:w="1255" w:type="dxa"/>
          </w:tcPr>
          <w:p w14:paraId="0504B342" w14:textId="3565A155" w:rsidR="00C5704A" w:rsidRPr="007F504F" w:rsidRDefault="00C5704A" w:rsidP="002C267D">
            <w:pPr>
              <w:rPr>
                <w:b/>
                <w:bCs/>
              </w:rPr>
            </w:pPr>
            <w:r w:rsidRPr="007F504F">
              <w:rPr>
                <w:b/>
                <w:bCs/>
              </w:rPr>
              <w:t>-in</w:t>
            </w:r>
          </w:p>
        </w:tc>
        <w:tc>
          <w:tcPr>
            <w:tcW w:w="2070" w:type="dxa"/>
          </w:tcPr>
          <w:p w14:paraId="205DA725" w14:textId="15D2E74D" w:rsidR="00C5704A" w:rsidRDefault="00C5704A" w:rsidP="002C267D">
            <w:r>
              <w:t xml:space="preserve">PATH_TO_FOLDER              </w:t>
            </w:r>
          </w:p>
        </w:tc>
        <w:tc>
          <w:tcPr>
            <w:tcW w:w="6025" w:type="dxa"/>
          </w:tcPr>
          <w:p w14:paraId="43E20AD0" w14:textId="5ED81216" w:rsidR="00C5704A" w:rsidRDefault="00C5704A" w:rsidP="002C267D">
            <w:r>
              <w:t xml:space="preserve">The input given to </w:t>
            </w:r>
            <w:proofErr w:type="spellStart"/>
            <w:r>
              <w:t>CoreCruncher</w:t>
            </w:r>
            <w:proofErr w:type="spellEnd"/>
            <w:r>
              <w:t xml:space="preserve"> is the path to a folder   containing the genomes to analyze.</w:t>
            </w:r>
          </w:p>
        </w:tc>
      </w:tr>
      <w:tr w:rsidR="00C5704A" w14:paraId="6D60D37D" w14:textId="77777777" w:rsidTr="00C5704A">
        <w:tc>
          <w:tcPr>
            <w:tcW w:w="1255" w:type="dxa"/>
          </w:tcPr>
          <w:p w14:paraId="23FC4B64" w14:textId="16F6D2B2" w:rsidR="00C5704A" w:rsidRPr="007F504F" w:rsidRDefault="00C5704A" w:rsidP="002C267D">
            <w:pPr>
              <w:rPr>
                <w:b/>
                <w:bCs/>
              </w:rPr>
            </w:pPr>
            <w:r w:rsidRPr="007F504F">
              <w:rPr>
                <w:b/>
                <w:bCs/>
              </w:rPr>
              <w:t xml:space="preserve">-out   </w:t>
            </w:r>
          </w:p>
        </w:tc>
        <w:tc>
          <w:tcPr>
            <w:tcW w:w="2070" w:type="dxa"/>
          </w:tcPr>
          <w:p w14:paraId="20E4EE35" w14:textId="13254AE9" w:rsidR="00C5704A" w:rsidRDefault="00C5704A" w:rsidP="002C267D">
            <w:r>
              <w:t xml:space="preserve">OUTPUT_FOLDER              </w:t>
            </w:r>
          </w:p>
        </w:tc>
        <w:tc>
          <w:tcPr>
            <w:tcW w:w="6025" w:type="dxa"/>
          </w:tcPr>
          <w:p w14:paraId="0993278C" w14:textId="6828AE90" w:rsidR="00C5704A" w:rsidRDefault="00C5704A" w:rsidP="002C267D">
            <w:proofErr w:type="spellStart"/>
            <w:r>
              <w:t>CoreCruncher</w:t>
            </w:r>
            <w:proofErr w:type="spellEnd"/>
            <w:r>
              <w:t xml:space="preserve"> will create an output folder </w:t>
            </w:r>
            <w:proofErr w:type="spellStart"/>
            <w:r>
              <w:t>containg</w:t>
            </w:r>
            <w:proofErr w:type="spellEnd"/>
            <w:r>
              <w:t xml:space="preserve"> all the results of the analysis</w:t>
            </w:r>
          </w:p>
        </w:tc>
      </w:tr>
    </w:tbl>
    <w:p w14:paraId="6456A069" w14:textId="035D0851" w:rsidR="00C5704A" w:rsidRDefault="00C5704A" w:rsidP="002C267D"/>
    <w:p w14:paraId="2314C5F3" w14:textId="2BC128A4" w:rsidR="00C5704A" w:rsidRPr="004F5F77" w:rsidRDefault="00C5704A" w:rsidP="002C267D">
      <w:pPr>
        <w:rPr>
          <w:b/>
          <w:bCs/>
        </w:rPr>
      </w:pPr>
    </w:p>
    <w:p w14:paraId="2C40EE4D" w14:textId="17A6B0AB" w:rsidR="00C5704A" w:rsidRPr="004F5F77" w:rsidRDefault="00C5704A" w:rsidP="002C267D">
      <w:pPr>
        <w:rPr>
          <w:b/>
          <w:bCs/>
        </w:rPr>
      </w:pPr>
      <w:r w:rsidRPr="004F5F77">
        <w:rPr>
          <w:b/>
          <w:bCs/>
        </w:rPr>
        <w:t>Optional arguments</w:t>
      </w:r>
    </w:p>
    <w:p w14:paraId="24B4F94B" w14:textId="4DCC6C77" w:rsidR="00C5704A" w:rsidRDefault="00C5704A" w:rsidP="002C267D"/>
    <w:p w14:paraId="3669F03E" w14:textId="19323A4A" w:rsidR="00C5704A" w:rsidRDefault="00C5704A" w:rsidP="002C267D"/>
    <w:tbl>
      <w:tblPr>
        <w:tblStyle w:val="TableGrid"/>
        <w:tblW w:w="0" w:type="auto"/>
        <w:tblLook w:val="04A0" w:firstRow="1" w:lastRow="0" w:firstColumn="1" w:lastColumn="0" w:noHBand="0" w:noVBand="1"/>
      </w:tblPr>
      <w:tblGrid>
        <w:gridCol w:w="1250"/>
        <w:gridCol w:w="2122"/>
        <w:gridCol w:w="5978"/>
      </w:tblGrid>
      <w:tr w:rsidR="00C5704A" w14:paraId="301B67AA" w14:textId="77777777" w:rsidTr="00003253">
        <w:tc>
          <w:tcPr>
            <w:tcW w:w="1250" w:type="dxa"/>
          </w:tcPr>
          <w:p w14:paraId="214C80F2" w14:textId="0CDFC39E" w:rsidR="00C5704A" w:rsidRPr="007F504F" w:rsidRDefault="00604F25" w:rsidP="00B33D7C">
            <w:pPr>
              <w:rPr>
                <w:b/>
                <w:bCs/>
              </w:rPr>
            </w:pPr>
            <w:r w:rsidRPr="007F504F">
              <w:rPr>
                <w:b/>
                <w:bCs/>
              </w:rPr>
              <w:t>-</w:t>
            </w:r>
            <w:proofErr w:type="spellStart"/>
            <w:r w:rsidRPr="007F504F">
              <w:rPr>
                <w:b/>
                <w:bCs/>
              </w:rPr>
              <w:t>freq</w:t>
            </w:r>
            <w:proofErr w:type="spellEnd"/>
          </w:p>
        </w:tc>
        <w:tc>
          <w:tcPr>
            <w:tcW w:w="2122" w:type="dxa"/>
          </w:tcPr>
          <w:p w14:paraId="202182F2" w14:textId="77777777" w:rsidR="007C1B54" w:rsidRDefault="00C5704A" w:rsidP="00B33D7C">
            <w:r>
              <w:t xml:space="preserve"> </w:t>
            </w:r>
            <w:r w:rsidR="00604F25">
              <w:t xml:space="preserve">Value </w:t>
            </w:r>
          </w:p>
          <w:p w14:paraId="0EFB82DB" w14:textId="067A6280" w:rsidR="00C5704A" w:rsidRDefault="00604F25" w:rsidP="00B33D7C">
            <w:r>
              <w:t>(default= 90)</w:t>
            </w:r>
          </w:p>
        </w:tc>
        <w:tc>
          <w:tcPr>
            <w:tcW w:w="5978" w:type="dxa"/>
          </w:tcPr>
          <w:p w14:paraId="61D7D536" w14:textId="05806308" w:rsidR="00C5704A" w:rsidRDefault="00604F25" w:rsidP="00B33D7C">
            <w:r w:rsidRPr="00604F25">
              <w:t>Minimum frequency of the gene across genomes to be considered core (default= 90%, an ortholog is considered a core gene even if it is missing in 10% of the set of genomes)"</w:t>
            </w:r>
          </w:p>
        </w:tc>
      </w:tr>
      <w:tr w:rsidR="00C5704A" w14:paraId="39BDC8B8" w14:textId="77777777" w:rsidTr="00003253">
        <w:tc>
          <w:tcPr>
            <w:tcW w:w="1250" w:type="dxa"/>
          </w:tcPr>
          <w:p w14:paraId="26649F94" w14:textId="7F9BDAB5" w:rsidR="00C5704A" w:rsidRPr="007F504F" w:rsidRDefault="00604F25" w:rsidP="00B33D7C">
            <w:pPr>
              <w:rPr>
                <w:b/>
                <w:bCs/>
              </w:rPr>
            </w:pPr>
            <w:r w:rsidRPr="007F504F">
              <w:rPr>
                <w:b/>
                <w:bCs/>
              </w:rPr>
              <w:t>-score</w:t>
            </w:r>
          </w:p>
        </w:tc>
        <w:tc>
          <w:tcPr>
            <w:tcW w:w="2122" w:type="dxa"/>
          </w:tcPr>
          <w:p w14:paraId="39C0EDFF" w14:textId="77777777" w:rsidR="007C1B54" w:rsidRDefault="00604F25" w:rsidP="00B33D7C">
            <w:r>
              <w:t xml:space="preserve">Value </w:t>
            </w:r>
          </w:p>
          <w:p w14:paraId="7D4ABACB" w14:textId="007AFB39" w:rsidR="00C5704A" w:rsidRDefault="00604F25" w:rsidP="00B33D7C">
            <w:r>
              <w:t xml:space="preserve">(default= </w:t>
            </w:r>
            <w:r w:rsidR="005523C0">
              <w:t>90</w:t>
            </w:r>
            <w:r>
              <w:t>)</w:t>
            </w:r>
          </w:p>
        </w:tc>
        <w:tc>
          <w:tcPr>
            <w:tcW w:w="5978" w:type="dxa"/>
          </w:tcPr>
          <w:p w14:paraId="36ECE945" w14:textId="54FA79A6" w:rsidR="00C5704A" w:rsidRDefault="00BE2777" w:rsidP="00B33D7C">
            <w:r w:rsidRPr="00BE2777">
              <w:t xml:space="preserve">Identity score used by </w:t>
            </w:r>
            <w:proofErr w:type="spellStart"/>
            <w:r w:rsidRPr="00BE2777">
              <w:t>usearch</w:t>
            </w:r>
            <w:proofErr w:type="spellEnd"/>
            <w:r w:rsidRPr="00BE2777">
              <w:t xml:space="preserve"> or blast to define orthologs in % (Default= </w:t>
            </w:r>
            <w:r w:rsidR="005523C0">
              <w:t>90</w:t>
            </w:r>
            <w:r>
              <w:t>%</w:t>
            </w:r>
            <w:r w:rsidRPr="00BE2777">
              <w:t>)</w:t>
            </w:r>
          </w:p>
        </w:tc>
      </w:tr>
      <w:tr w:rsidR="00C5704A" w14:paraId="07CC382A" w14:textId="77777777" w:rsidTr="00003253">
        <w:tc>
          <w:tcPr>
            <w:tcW w:w="1250" w:type="dxa"/>
          </w:tcPr>
          <w:p w14:paraId="40CA0DB7" w14:textId="24BCFEAF" w:rsidR="00C5704A" w:rsidRPr="007F504F" w:rsidRDefault="007C1B54" w:rsidP="00B33D7C">
            <w:pPr>
              <w:rPr>
                <w:b/>
                <w:bCs/>
              </w:rPr>
            </w:pPr>
            <w:r w:rsidRPr="007F504F">
              <w:rPr>
                <w:b/>
                <w:bCs/>
              </w:rPr>
              <w:t>-length</w:t>
            </w:r>
          </w:p>
        </w:tc>
        <w:tc>
          <w:tcPr>
            <w:tcW w:w="2122" w:type="dxa"/>
          </w:tcPr>
          <w:p w14:paraId="293A591E" w14:textId="77777777" w:rsidR="007C1B54" w:rsidRDefault="007C1B54" w:rsidP="00B33D7C">
            <w:r>
              <w:t xml:space="preserve">Value </w:t>
            </w:r>
          </w:p>
          <w:p w14:paraId="227CFB47" w14:textId="39771A57" w:rsidR="00C5704A" w:rsidRDefault="007C1B54" w:rsidP="00B33D7C">
            <w:r>
              <w:t>(default= 80)</w:t>
            </w:r>
          </w:p>
        </w:tc>
        <w:tc>
          <w:tcPr>
            <w:tcW w:w="5978" w:type="dxa"/>
          </w:tcPr>
          <w:p w14:paraId="2FC08572" w14:textId="28BC84D1" w:rsidR="00C5704A" w:rsidRDefault="007C1B54" w:rsidP="00B33D7C">
            <w:r w:rsidRPr="007C1B54">
              <w:t xml:space="preserve">-length   </w:t>
            </w:r>
            <w:r w:rsidRPr="007C1B54">
              <w:tab/>
              <w:t>Minimum sequence length conservation used by to define orthologs (default= 80%)</w:t>
            </w:r>
          </w:p>
        </w:tc>
      </w:tr>
      <w:tr w:rsidR="00C5704A" w14:paraId="20B40EEA" w14:textId="77777777" w:rsidTr="00003253">
        <w:tc>
          <w:tcPr>
            <w:tcW w:w="1250" w:type="dxa"/>
          </w:tcPr>
          <w:p w14:paraId="40935D41" w14:textId="151776FE" w:rsidR="00C5704A" w:rsidRPr="007F504F" w:rsidRDefault="00A31D5D" w:rsidP="00B33D7C">
            <w:pPr>
              <w:rPr>
                <w:b/>
                <w:bCs/>
              </w:rPr>
            </w:pPr>
            <w:r w:rsidRPr="007F504F">
              <w:rPr>
                <w:b/>
                <w:bCs/>
              </w:rPr>
              <w:t>-prog</w:t>
            </w:r>
          </w:p>
        </w:tc>
        <w:tc>
          <w:tcPr>
            <w:tcW w:w="2122" w:type="dxa"/>
          </w:tcPr>
          <w:p w14:paraId="5714E970" w14:textId="77777777" w:rsidR="00C5704A" w:rsidRDefault="00A31D5D" w:rsidP="00B33D7C">
            <w:proofErr w:type="spellStart"/>
            <w:r>
              <w:t>usearch</w:t>
            </w:r>
            <w:proofErr w:type="spellEnd"/>
            <w:r>
              <w:t xml:space="preserve"> or blast</w:t>
            </w:r>
          </w:p>
          <w:p w14:paraId="706D50B7" w14:textId="68C86AA3" w:rsidR="00A31D5D" w:rsidRDefault="00A31D5D" w:rsidP="00B33D7C">
            <w:r>
              <w:t xml:space="preserve">(default= </w:t>
            </w:r>
            <w:proofErr w:type="spellStart"/>
            <w:r>
              <w:t>usearch</w:t>
            </w:r>
            <w:proofErr w:type="spellEnd"/>
            <w:r>
              <w:t>)</w:t>
            </w:r>
          </w:p>
        </w:tc>
        <w:tc>
          <w:tcPr>
            <w:tcW w:w="5978" w:type="dxa"/>
          </w:tcPr>
          <w:p w14:paraId="2CBE6EF9" w14:textId="6A21A4C7" w:rsidR="00C5704A" w:rsidRDefault="00A31D5D" w:rsidP="00B33D7C">
            <w:r w:rsidRPr="00A31D5D">
              <w:t xml:space="preserve">Program to use to compare sequences: </w:t>
            </w:r>
            <w:proofErr w:type="spellStart"/>
            <w:r w:rsidRPr="00BD5BDF">
              <w:rPr>
                <w:i/>
                <w:iCs/>
              </w:rPr>
              <w:t>Usearch</w:t>
            </w:r>
            <w:proofErr w:type="spellEnd"/>
            <w:r w:rsidRPr="00A31D5D">
              <w:t xml:space="preserve"> or </w:t>
            </w:r>
            <w:r w:rsidRPr="00BD5BDF">
              <w:rPr>
                <w:i/>
                <w:iCs/>
              </w:rPr>
              <w:t>Blast</w:t>
            </w:r>
            <w:r w:rsidRPr="00A31D5D">
              <w:t xml:space="preserve"> (default= </w:t>
            </w:r>
            <w:proofErr w:type="spellStart"/>
            <w:r w:rsidRPr="00A31D5D">
              <w:t>usearch</w:t>
            </w:r>
            <w:proofErr w:type="spellEnd"/>
            <w:r w:rsidRPr="00A31D5D">
              <w:t>)</w:t>
            </w:r>
          </w:p>
        </w:tc>
      </w:tr>
      <w:tr w:rsidR="00C5704A" w14:paraId="1A1E1324" w14:textId="77777777" w:rsidTr="00003253">
        <w:tc>
          <w:tcPr>
            <w:tcW w:w="1250" w:type="dxa"/>
          </w:tcPr>
          <w:p w14:paraId="36ACF349" w14:textId="7C1636E0" w:rsidR="00C5704A" w:rsidRPr="007F504F" w:rsidRDefault="00A70A9F" w:rsidP="00B33D7C">
            <w:pPr>
              <w:rPr>
                <w:b/>
                <w:bCs/>
              </w:rPr>
            </w:pPr>
            <w:r w:rsidRPr="007F504F">
              <w:rPr>
                <w:b/>
                <w:bCs/>
              </w:rPr>
              <w:t>-ref</w:t>
            </w:r>
          </w:p>
        </w:tc>
        <w:tc>
          <w:tcPr>
            <w:tcW w:w="2122" w:type="dxa"/>
          </w:tcPr>
          <w:p w14:paraId="0BE505DB" w14:textId="6EF8C9ED" w:rsidR="00C5704A" w:rsidRDefault="00A70A9F" w:rsidP="00B33D7C">
            <w:r>
              <w:t>Genome file name</w:t>
            </w:r>
          </w:p>
          <w:p w14:paraId="23FE0DEA" w14:textId="5EB42721" w:rsidR="00A70A9F" w:rsidRDefault="00A70A9F" w:rsidP="00B33D7C">
            <w:r>
              <w:t>(default= first genome file in the folder)</w:t>
            </w:r>
          </w:p>
        </w:tc>
        <w:tc>
          <w:tcPr>
            <w:tcW w:w="5978" w:type="dxa"/>
          </w:tcPr>
          <w:p w14:paraId="64688E0A" w14:textId="5B16329B" w:rsidR="00C5704A" w:rsidRDefault="00A70A9F" w:rsidP="00B33D7C">
            <w:r>
              <w:t>Pivot</w:t>
            </w:r>
            <w:r w:rsidRPr="00A70A9F">
              <w:t xml:space="preserve"> genome (default: first genome in folder will be used as reference). If you want to specify the </w:t>
            </w:r>
            <w:r>
              <w:t>pivot</w:t>
            </w:r>
            <w:r w:rsidRPr="00A70A9F">
              <w:t xml:space="preserve"> genome to use, spe</w:t>
            </w:r>
            <w:r w:rsidR="00187F07">
              <w:t>c</w:t>
            </w:r>
            <w:r w:rsidRPr="00A70A9F">
              <w:t>i</w:t>
            </w:r>
            <w:r w:rsidR="00187F07">
              <w:t>f</w:t>
            </w:r>
            <w:r w:rsidRPr="00A70A9F">
              <w:t>y the name of the file in the folder (e.g. -ref genome1.prot)</w:t>
            </w:r>
          </w:p>
        </w:tc>
      </w:tr>
      <w:tr w:rsidR="00C5704A" w14:paraId="54CEF320" w14:textId="77777777" w:rsidTr="00003253">
        <w:tc>
          <w:tcPr>
            <w:tcW w:w="1250" w:type="dxa"/>
          </w:tcPr>
          <w:p w14:paraId="0ED10913" w14:textId="24D4491B" w:rsidR="00C5704A" w:rsidRPr="007F504F" w:rsidRDefault="00A0193C" w:rsidP="00B33D7C">
            <w:pPr>
              <w:rPr>
                <w:b/>
                <w:bCs/>
              </w:rPr>
            </w:pPr>
            <w:r w:rsidRPr="007F504F">
              <w:rPr>
                <w:b/>
                <w:bCs/>
              </w:rPr>
              <w:t>-id</w:t>
            </w:r>
          </w:p>
        </w:tc>
        <w:tc>
          <w:tcPr>
            <w:tcW w:w="2122" w:type="dxa"/>
          </w:tcPr>
          <w:p w14:paraId="7F9D8D48" w14:textId="795DAAE5" w:rsidR="00C5704A" w:rsidRDefault="00A0193C" w:rsidP="00B33D7C">
            <w:r>
              <w:t>unique or combined</w:t>
            </w:r>
          </w:p>
          <w:p w14:paraId="0455CBD6" w14:textId="6C1A79DB" w:rsidR="00A0193C" w:rsidRDefault="00A0193C" w:rsidP="00B33D7C">
            <w:r>
              <w:t>(default = combined)</w:t>
            </w:r>
          </w:p>
        </w:tc>
        <w:tc>
          <w:tcPr>
            <w:tcW w:w="5978" w:type="dxa"/>
          </w:tcPr>
          <w:p w14:paraId="6A79917A" w14:textId="456FCCDB" w:rsidR="00C5704A" w:rsidRDefault="00A0193C" w:rsidP="00B33D7C">
            <w:r w:rsidRPr="00A0193C">
              <w:t xml:space="preserve">Type of gene IDs in output files. Choose 'unique' if the same gene IDs are not found in different genomes or 'combined' to combine genome ID &amp; gene ID (default= 'combined').  </w:t>
            </w:r>
          </w:p>
        </w:tc>
      </w:tr>
      <w:tr w:rsidR="00C5704A" w14:paraId="51B8BF4A" w14:textId="77777777" w:rsidTr="00003253">
        <w:tc>
          <w:tcPr>
            <w:tcW w:w="1250" w:type="dxa"/>
          </w:tcPr>
          <w:p w14:paraId="2251EB7E" w14:textId="1F34D6C4" w:rsidR="00C5704A" w:rsidRPr="007F504F" w:rsidRDefault="006739BD" w:rsidP="00B33D7C">
            <w:pPr>
              <w:rPr>
                <w:b/>
                <w:bCs/>
              </w:rPr>
            </w:pPr>
            <w:r w:rsidRPr="007F504F">
              <w:rPr>
                <w:b/>
                <w:bCs/>
              </w:rPr>
              <w:t>-</w:t>
            </w:r>
            <w:proofErr w:type="spellStart"/>
            <w:r w:rsidRPr="007F504F">
              <w:rPr>
                <w:b/>
                <w:bCs/>
              </w:rPr>
              <w:t>ext</w:t>
            </w:r>
            <w:proofErr w:type="spellEnd"/>
          </w:p>
        </w:tc>
        <w:tc>
          <w:tcPr>
            <w:tcW w:w="2122" w:type="dxa"/>
          </w:tcPr>
          <w:p w14:paraId="2D9BCF17" w14:textId="77777777" w:rsidR="00C5704A" w:rsidRDefault="006739BD" w:rsidP="00B33D7C">
            <w:proofErr w:type="gramStart"/>
            <w:r w:rsidRPr="006739BD">
              <w:t>.fa</w:t>
            </w:r>
            <w:proofErr w:type="gramEnd"/>
            <w:r w:rsidRPr="006739BD">
              <w:t>/.</w:t>
            </w:r>
            <w:proofErr w:type="spellStart"/>
            <w:r w:rsidRPr="006739BD">
              <w:t>fasta</w:t>
            </w:r>
            <w:proofErr w:type="spellEnd"/>
            <w:r w:rsidRPr="006739BD">
              <w:t>/.</w:t>
            </w:r>
            <w:proofErr w:type="spellStart"/>
            <w:r w:rsidRPr="006739BD">
              <w:t>prot</w:t>
            </w:r>
            <w:proofErr w:type="spellEnd"/>
            <w:r w:rsidRPr="006739BD">
              <w:t>/.</w:t>
            </w:r>
            <w:proofErr w:type="spellStart"/>
            <w:r w:rsidRPr="006739BD">
              <w:t>faa</w:t>
            </w:r>
            <w:proofErr w:type="spellEnd"/>
            <w:r>
              <w:t xml:space="preserve"> or other</w:t>
            </w:r>
          </w:p>
          <w:p w14:paraId="3BC40496" w14:textId="4D64753B" w:rsidR="006739BD" w:rsidRDefault="006739BD" w:rsidP="00B33D7C">
            <w:r w:rsidRPr="006739BD">
              <w:t>(default: will try to find it automatically)</w:t>
            </w:r>
          </w:p>
        </w:tc>
        <w:tc>
          <w:tcPr>
            <w:tcW w:w="5978" w:type="dxa"/>
          </w:tcPr>
          <w:p w14:paraId="69F0B0BA" w14:textId="728804F2" w:rsidR="00C5704A" w:rsidRDefault="006739BD" w:rsidP="00B33D7C">
            <w:r w:rsidRPr="006739BD">
              <w:t xml:space="preserve">File extensions </w:t>
            </w:r>
            <w:r>
              <w:t>of the genome files to analyze</w:t>
            </w:r>
            <w:r w:rsidR="00EE3AFA">
              <w:t xml:space="preserve"> in the input folder</w:t>
            </w:r>
            <w:r>
              <w:t xml:space="preserve">; </w:t>
            </w:r>
            <w:proofErr w:type="gramStart"/>
            <w:r>
              <w:t xml:space="preserve">e.g. </w:t>
            </w:r>
            <w:r w:rsidRPr="006739BD">
              <w:t>.fa</w:t>
            </w:r>
            <w:proofErr w:type="gramEnd"/>
            <w:r w:rsidRPr="006739BD">
              <w:t>/.</w:t>
            </w:r>
            <w:proofErr w:type="spellStart"/>
            <w:r w:rsidRPr="006739BD">
              <w:t>fasta</w:t>
            </w:r>
            <w:proofErr w:type="spellEnd"/>
            <w:r w:rsidRPr="006739BD">
              <w:t>/.</w:t>
            </w:r>
            <w:proofErr w:type="spellStart"/>
            <w:r w:rsidRPr="006739BD">
              <w:t>prot</w:t>
            </w:r>
            <w:proofErr w:type="spellEnd"/>
            <w:r w:rsidRPr="006739BD">
              <w:t>/.</w:t>
            </w:r>
            <w:proofErr w:type="spellStart"/>
            <w:r w:rsidRPr="006739BD">
              <w:t>faa</w:t>
            </w:r>
            <w:proofErr w:type="spellEnd"/>
            <w:r w:rsidRPr="006739BD">
              <w:t xml:space="preserve"> (default: will try to find it automatically)</w:t>
            </w:r>
          </w:p>
        </w:tc>
      </w:tr>
      <w:tr w:rsidR="00C5704A" w14:paraId="6D55842A" w14:textId="77777777" w:rsidTr="00003253">
        <w:tc>
          <w:tcPr>
            <w:tcW w:w="1250" w:type="dxa"/>
          </w:tcPr>
          <w:p w14:paraId="378F4D0E" w14:textId="3C34A794" w:rsidR="00C5704A" w:rsidRPr="007F504F" w:rsidRDefault="00003253" w:rsidP="00B33D7C">
            <w:pPr>
              <w:rPr>
                <w:b/>
                <w:bCs/>
              </w:rPr>
            </w:pPr>
            <w:r w:rsidRPr="007F504F">
              <w:rPr>
                <w:b/>
                <w:bCs/>
              </w:rPr>
              <w:t>-list</w:t>
            </w:r>
          </w:p>
        </w:tc>
        <w:tc>
          <w:tcPr>
            <w:tcW w:w="2122" w:type="dxa"/>
          </w:tcPr>
          <w:p w14:paraId="402F3838" w14:textId="77777777" w:rsidR="00C5704A" w:rsidRDefault="00003253" w:rsidP="00B33D7C">
            <w:r>
              <w:t>File name</w:t>
            </w:r>
          </w:p>
          <w:p w14:paraId="0F8BDD64" w14:textId="2CD325AC" w:rsidR="00003253" w:rsidRDefault="00003253" w:rsidP="00B33D7C">
            <w:r>
              <w:t>(default= none)</w:t>
            </w:r>
          </w:p>
        </w:tc>
        <w:tc>
          <w:tcPr>
            <w:tcW w:w="5978" w:type="dxa"/>
          </w:tcPr>
          <w:p w14:paraId="03B90DDD" w14:textId="5DE52311" w:rsidR="00C5704A" w:rsidRDefault="00003253" w:rsidP="00B33D7C">
            <w:r w:rsidRPr="00003253">
              <w:t>Path to a file containing the list of genomes to analyze</w:t>
            </w:r>
            <w:r>
              <w:t xml:space="preserve">. This option can be used in case you don’t want to analyze all the genomes in your input folder </w:t>
            </w:r>
            <w:r w:rsidRPr="00003253">
              <w:t>(default: none, all the genomes in the folder will be analyzed by default)</w:t>
            </w:r>
          </w:p>
        </w:tc>
      </w:tr>
      <w:tr w:rsidR="00003253" w14:paraId="56E45FC7" w14:textId="77777777" w:rsidTr="00003253">
        <w:tc>
          <w:tcPr>
            <w:tcW w:w="1250" w:type="dxa"/>
          </w:tcPr>
          <w:p w14:paraId="696D1C83" w14:textId="23559007" w:rsidR="00003253" w:rsidRPr="007F504F" w:rsidRDefault="00003253" w:rsidP="00B33D7C">
            <w:pPr>
              <w:rPr>
                <w:b/>
                <w:bCs/>
              </w:rPr>
            </w:pPr>
            <w:r w:rsidRPr="007F504F">
              <w:rPr>
                <w:b/>
                <w:bCs/>
              </w:rPr>
              <w:t>-restart</w:t>
            </w:r>
          </w:p>
        </w:tc>
        <w:tc>
          <w:tcPr>
            <w:tcW w:w="2122" w:type="dxa"/>
          </w:tcPr>
          <w:p w14:paraId="17B0046A" w14:textId="6BF73940" w:rsidR="00003253" w:rsidRDefault="00003253" w:rsidP="00B33D7C">
            <w:r>
              <w:t>yes or no</w:t>
            </w:r>
          </w:p>
          <w:p w14:paraId="19EBAFF9" w14:textId="504343DB" w:rsidR="00003253" w:rsidRDefault="00003253" w:rsidP="00B33D7C">
            <w:r>
              <w:t>(default= no)</w:t>
            </w:r>
          </w:p>
        </w:tc>
        <w:tc>
          <w:tcPr>
            <w:tcW w:w="5978" w:type="dxa"/>
          </w:tcPr>
          <w:p w14:paraId="01CAA9E5" w14:textId="07E72B67" w:rsidR="00003253" w:rsidRPr="00003253" w:rsidRDefault="00003253" w:rsidP="00B33D7C">
            <w:r w:rsidRPr="00003253">
              <w:t xml:space="preserve">Restart analysis from scratch: yes or no (default= no). If yes is chosen, the program will erase the </w:t>
            </w:r>
            <w:proofErr w:type="spellStart"/>
            <w:r w:rsidRPr="00003253">
              <w:t>usearch</w:t>
            </w:r>
            <w:proofErr w:type="spellEnd"/>
            <w:r w:rsidRPr="00003253">
              <w:t xml:space="preserve"> output files and relaunch </w:t>
            </w:r>
            <w:proofErr w:type="spellStart"/>
            <w:r w:rsidRPr="00003253">
              <w:t>usearch</w:t>
            </w:r>
            <w:proofErr w:type="spellEnd"/>
            <w:r w:rsidRPr="00003253">
              <w:t xml:space="preserve"> or blast</w:t>
            </w:r>
            <w:r>
              <w:t xml:space="preserve">. </w:t>
            </w:r>
            <w:r w:rsidR="005D3E3B">
              <w:t xml:space="preserve">Note that </w:t>
            </w:r>
            <w:proofErr w:type="spellStart"/>
            <w:r w:rsidR="005D3E3B">
              <w:t>usearch</w:t>
            </w:r>
            <w:proofErr w:type="spellEnd"/>
            <w:r w:rsidR="005D3E3B">
              <w:t xml:space="preserve"> or </w:t>
            </w:r>
            <w:r w:rsidR="005D3E3B">
              <w:lastRenderedPageBreak/>
              <w:t xml:space="preserve">blast don’t need to be relaunched </w:t>
            </w:r>
            <w:r w:rsidR="00F678A5">
              <w:t xml:space="preserve">every time </w:t>
            </w:r>
            <w:r w:rsidR="005D3E3B">
              <w:t xml:space="preserve">if you want to rebuild your core genome with different parameters. </w:t>
            </w:r>
          </w:p>
        </w:tc>
      </w:tr>
      <w:tr w:rsidR="00003253" w14:paraId="286662D9" w14:textId="77777777" w:rsidTr="00003253">
        <w:tc>
          <w:tcPr>
            <w:tcW w:w="1250" w:type="dxa"/>
          </w:tcPr>
          <w:p w14:paraId="2D9DF099" w14:textId="024389C6" w:rsidR="00003253" w:rsidRPr="007F504F" w:rsidRDefault="007F5BEE" w:rsidP="00B33D7C">
            <w:pPr>
              <w:rPr>
                <w:b/>
                <w:bCs/>
              </w:rPr>
            </w:pPr>
            <w:r w:rsidRPr="007F504F">
              <w:rPr>
                <w:b/>
                <w:bCs/>
              </w:rPr>
              <w:lastRenderedPageBreak/>
              <w:t>-align</w:t>
            </w:r>
          </w:p>
        </w:tc>
        <w:tc>
          <w:tcPr>
            <w:tcW w:w="2122" w:type="dxa"/>
          </w:tcPr>
          <w:p w14:paraId="2C7B4A31" w14:textId="77777777" w:rsidR="00003253" w:rsidRDefault="007F5BEE" w:rsidP="00B33D7C">
            <w:r>
              <w:t>Program name</w:t>
            </w:r>
          </w:p>
          <w:p w14:paraId="1F23E2BE" w14:textId="254689AC" w:rsidR="007F5BEE" w:rsidRDefault="007F5BEE" w:rsidP="00B33D7C">
            <w:r>
              <w:t>(default= none)</w:t>
            </w:r>
          </w:p>
        </w:tc>
        <w:tc>
          <w:tcPr>
            <w:tcW w:w="5978" w:type="dxa"/>
          </w:tcPr>
          <w:p w14:paraId="3EBE5F9A" w14:textId="62E7A566" w:rsidR="00003253" w:rsidRPr="00003253" w:rsidRDefault="007F5BEE" w:rsidP="00B33D7C">
            <w:r w:rsidRPr="007F5BEE">
              <w:t xml:space="preserve">Align core gene sequences with specified program (muscle or </w:t>
            </w:r>
            <w:proofErr w:type="spellStart"/>
            <w:r w:rsidRPr="007F5BEE">
              <w:t>mafft</w:t>
            </w:r>
            <w:proofErr w:type="spellEnd"/>
            <w:r w:rsidRPr="007F5BEE">
              <w:t>) and merge all the core genes into a single concatenate. Example</w:t>
            </w:r>
            <w:proofErr w:type="gramStart"/>
            <w:r w:rsidRPr="007F5BEE">
              <w:t>=  -</w:t>
            </w:r>
            <w:proofErr w:type="gramEnd"/>
            <w:r w:rsidRPr="007F5BEE">
              <w:t xml:space="preserve">align musclev0.0.0 or -align </w:t>
            </w:r>
            <w:proofErr w:type="spellStart"/>
            <w:r w:rsidRPr="007F5BEE">
              <w:t>mafft</w:t>
            </w:r>
            <w:proofErr w:type="spellEnd"/>
            <w:r w:rsidRPr="007F5BEE">
              <w:t>)"</w:t>
            </w:r>
            <w:r>
              <w:t xml:space="preserve">. Your </w:t>
            </w:r>
            <w:r w:rsidR="000A3E2B">
              <w:t>alignment</w:t>
            </w:r>
            <w:r>
              <w:t xml:space="preserve"> program must bin in your bin directory </w:t>
            </w:r>
            <w:r w:rsidRPr="007F5BEE">
              <w:t>/</w:t>
            </w:r>
            <w:proofErr w:type="spellStart"/>
            <w:r w:rsidRPr="007F5BEE">
              <w:t>usr</w:t>
            </w:r>
            <w:proofErr w:type="spellEnd"/>
            <w:r w:rsidRPr="007F5BEE">
              <w:t>/</w:t>
            </w:r>
            <w:r w:rsidR="00206E18">
              <w:t>local/</w:t>
            </w:r>
            <w:r w:rsidRPr="007F5BEE">
              <w:t>bin/</w:t>
            </w:r>
          </w:p>
        </w:tc>
      </w:tr>
      <w:tr w:rsidR="00003253" w14:paraId="0CC6AC4C" w14:textId="77777777" w:rsidTr="00003253">
        <w:tc>
          <w:tcPr>
            <w:tcW w:w="1250" w:type="dxa"/>
          </w:tcPr>
          <w:p w14:paraId="5DB45008" w14:textId="46A89071" w:rsidR="00003253" w:rsidRPr="007F504F" w:rsidRDefault="00AE5A39" w:rsidP="00B33D7C">
            <w:pPr>
              <w:rPr>
                <w:b/>
                <w:bCs/>
              </w:rPr>
            </w:pPr>
            <w:r w:rsidRPr="007F504F">
              <w:rPr>
                <w:b/>
                <w:bCs/>
              </w:rPr>
              <w:t xml:space="preserve">-stringent   </w:t>
            </w:r>
          </w:p>
        </w:tc>
        <w:tc>
          <w:tcPr>
            <w:tcW w:w="2122" w:type="dxa"/>
          </w:tcPr>
          <w:p w14:paraId="4FD13C39" w14:textId="77777777" w:rsidR="00003253" w:rsidRDefault="00AE5A39" w:rsidP="00B33D7C">
            <w:r>
              <w:t>yes or no</w:t>
            </w:r>
          </w:p>
          <w:p w14:paraId="696F21EA" w14:textId="4ABA386F" w:rsidR="00AE5A39" w:rsidRDefault="00AE5A39" w:rsidP="00B33D7C">
            <w:r>
              <w:t>(default= no)</w:t>
            </w:r>
          </w:p>
        </w:tc>
        <w:tc>
          <w:tcPr>
            <w:tcW w:w="5978" w:type="dxa"/>
          </w:tcPr>
          <w:p w14:paraId="6774F422" w14:textId="43D4680D" w:rsidR="00003253" w:rsidRPr="00003253" w:rsidRDefault="00AE5A39" w:rsidP="00B33D7C">
            <w:r w:rsidRPr="00AE5A39">
              <w:t>Define a stringent core genome: yes or no (default= no). By default, core genes with paralogs will be conserved in the core genome and the paralogous sequences will be removed. If stringent is chosen, the core gene will be entirely removed from the core genome)</w:t>
            </w:r>
          </w:p>
        </w:tc>
      </w:tr>
    </w:tbl>
    <w:p w14:paraId="36F2F277" w14:textId="25F40C8D" w:rsidR="00C5704A" w:rsidRDefault="00C5704A" w:rsidP="002C267D"/>
    <w:p w14:paraId="1E923B57" w14:textId="3291FC4C" w:rsidR="008C403D" w:rsidRDefault="008C403D" w:rsidP="002C267D"/>
    <w:p w14:paraId="2588BFC9" w14:textId="0A324323" w:rsidR="005569B6" w:rsidRDefault="005569B6" w:rsidP="002C267D"/>
    <w:p w14:paraId="45464345" w14:textId="0EA3EF45" w:rsidR="005569B6" w:rsidRDefault="005569B6" w:rsidP="002C267D"/>
    <w:p w14:paraId="421EDF1E" w14:textId="59E2974E" w:rsidR="00B86A3A" w:rsidRPr="00B86A3A" w:rsidRDefault="00B86A3A" w:rsidP="002C267D">
      <w:pPr>
        <w:rPr>
          <w:b/>
          <w:bCs/>
        </w:rPr>
      </w:pPr>
      <w:proofErr w:type="spellStart"/>
      <w:r w:rsidRPr="00B86A3A">
        <w:rPr>
          <w:b/>
          <w:bCs/>
        </w:rPr>
        <w:t>Ouput</w:t>
      </w:r>
      <w:proofErr w:type="spellEnd"/>
      <w:r w:rsidRPr="00B86A3A">
        <w:rPr>
          <w:b/>
          <w:bCs/>
        </w:rPr>
        <w:t xml:space="preserve"> files</w:t>
      </w:r>
    </w:p>
    <w:p w14:paraId="64D3743C" w14:textId="1F1F0707" w:rsidR="00B86A3A" w:rsidRDefault="00B86A3A" w:rsidP="002C267D"/>
    <w:p w14:paraId="045D5A3C" w14:textId="38470F0F" w:rsidR="00B86A3A" w:rsidRDefault="00B86A3A" w:rsidP="002C267D">
      <w:r>
        <w:t xml:space="preserve">All output files are written in the </w:t>
      </w:r>
      <w:proofErr w:type="spellStart"/>
      <w:r>
        <w:t>ouput</w:t>
      </w:r>
      <w:proofErr w:type="spellEnd"/>
      <w:r>
        <w:t xml:space="preserve"> folder at the location specified with the </w:t>
      </w:r>
      <w:r w:rsidRPr="00B86A3A">
        <w:rPr>
          <w:b/>
          <w:bCs/>
        </w:rPr>
        <w:t>-out</w:t>
      </w:r>
      <w:r>
        <w:t xml:space="preserve"> option. </w:t>
      </w:r>
    </w:p>
    <w:p w14:paraId="19198E9D" w14:textId="0480E08D" w:rsidR="00B86A3A" w:rsidRDefault="00B86A3A" w:rsidP="002C267D"/>
    <w:p w14:paraId="5F332796" w14:textId="34AFEAEE" w:rsidR="00B86A3A" w:rsidRDefault="00B62342" w:rsidP="002C267D">
      <w:proofErr w:type="gramStart"/>
      <w:r w:rsidRPr="00B62342">
        <w:rPr>
          <w:b/>
          <w:bCs/>
        </w:rPr>
        <w:t>summary.txt</w:t>
      </w:r>
      <w:r>
        <w:t xml:space="preserve">  contains</w:t>
      </w:r>
      <w:proofErr w:type="gramEnd"/>
      <w:r>
        <w:t xml:space="preserve"> basic information about the inferred core genome and the parameters used to build the core genome. </w:t>
      </w:r>
    </w:p>
    <w:p w14:paraId="5BD47D3B" w14:textId="01D5394C" w:rsidR="00B62342" w:rsidRDefault="00B62342" w:rsidP="002C267D"/>
    <w:p w14:paraId="6C03CB8F" w14:textId="472A03A2" w:rsidR="00B62342" w:rsidRDefault="00D07F8C" w:rsidP="002C267D">
      <w:r>
        <w:rPr>
          <w:b/>
          <w:bCs/>
        </w:rPr>
        <w:t>f</w:t>
      </w:r>
      <w:r w:rsidR="00B62342" w:rsidRPr="00D07F8C">
        <w:rPr>
          <w:b/>
          <w:bCs/>
        </w:rPr>
        <w:t>amilies_core.txt</w:t>
      </w:r>
      <w:r w:rsidR="00B62342">
        <w:t xml:space="preserve">   contains the list of the genes inferred as core. Each line corresponds to a core gene. The first column of the core gene indicates the name of the core gene given by </w:t>
      </w:r>
      <w:proofErr w:type="spellStart"/>
      <w:r w:rsidR="00B62342">
        <w:t>CoreCruncher</w:t>
      </w:r>
      <w:proofErr w:type="spellEnd"/>
      <w:r w:rsidR="00B62342">
        <w:t xml:space="preserve"> (e.g. fam1, fam2, </w:t>
      </w:r>
      <w:proofErr w:type="spellStart"/>
      <w:r w:rsidR="00B62342">
        <w:t>etc</w:t>
      </w:r>
      <w:proofErr w:type="spellEnd"/>
      <w:r w:rsidR="00B62342">
        <w:t xml:space="preserve">…). </w:t>
      </w:r>
      <w:r w:rsidR="00987E18">
        <w:t xml:space="preserve">The rest of each line corresponds to the gene ID of the sequence in the different genomes. </w:t>
      </w:r>
      <w:r w:rsidR="00757658">
        <w:t>By default, g</w:t>
      </w:r>
      <w:r w:rsidR="008F7C36">
        <w:t>ene IDs are created by merging the genome name to the sequence ID</w:t>
      </w:r>
      <w:r w:rsidR="00757658">
        <w:t xml:space="preserve"> separated by ‘&amp;’, e.g.  </w:t>
      </w:r>
      <w:r w:rsidR="00757658" w:rsidRPr="00757658">
        <w:t>Serratia_sp_AS12.prot&amp;WP_000462905.1</w:t>
      </w:r>
      <w:r w:rsidR="00757658">
        <w:t xml:space="preserve"> indicates that sequence </w:t>
      </w:r>
      <w:r w:rsidR="00757658" w:rsidRPr="00757658">
        <w:t>WP_000462905.1</w:t>
      </w:r>
      <w:r w:rsidR="00757658">
        <w:t xml:space="preserve"> of genome </w:t>
      </w:r>
      <w:r w:rsidR="00757658" w:rsidRPr="00757658">
        <w:t>Serratia_sp_AS12.prot</w:t>
      </w:r>
      <w:r w:rsidR="00757658">
        <w:t>. The IDs are combined in case the same gene ID is used across multiple genomes.</w:t>
      </w:r>
    </w:p>
    <w:p w14:paraId="31DA3704" w14:textId="1B7D7424" w:rsidR="00D07F8C" w:rsidRDefault="00D07F8C" w:rsidP="002C267D"/>
    <w:p w14:paraId="36DD3AD5" w14:textId="7D116F03" w:rsidR="00D07F8C" w:rsidRDefault="00FD7E9B" w:rsidP="002C267D">
      <w:proofErr w:type="gramStart"/>
      <w:r w:rsidRPr="00FD7E9B">
        <w:rPr>
          <w:b/>
          <w:bCs/>
        </w:rPr>
        <w:t>core</w:t>
      </w:r>
      <w:r>
        <w:t xml:space="preserve">  is</w:t>
      </w:r>
      <w:proofErr w:type="gramEnd"/>
      <w:r>
        <w:t xml:space="preserve"> a folder containing </w:t>
      </w:r>
      <w:r w:rsidR="00CC7CBB">
        <w:t xml:space="preserve">all the sequences of </w:t>
      </w:r>
      <w:r>
        <w:t xml:space="preserve">each core gene in </w:t>
      </w:r>
      <w:r w:rsidR="00CC7CBB">
        <w:t xml:space="preserve">separate files. </w:t>
      </w:r>
      <w:r w:rsidR="00A241F9">
        <w:t xml:space="preserve">If the option </w:t>
      </w:r>
      <w:r w:rsidR="00A241F9" w:rsidRPr="00A241F9">
        <w:rPr>
          <w:b/>
          <w:bCs/>
        </w:rPr>
        <w:t>-align</w:t>
      </w:r>
      <w:r w:rsidR="00A241F9">
        <w:t xml:space="preserve"> is used, the folder also contains a aligned version of each core gene file with the </w:t>
      </w:r>
      <w:proofErr w:type="gramStart"/>
      <w:r w:rsidR="00A241F9">
        <w:t xml:space="preserve">extension </w:t>
      </w:r>
      <w:r w:rsidR="00A241F9" w:rsidRPr="00201307">
        <w:rPr>
          <w:b/>
          <w:bCs/>
        </w:rPr>
        <w:t>.align</w:t>
      </w:r>
      <w:proofErr w:type="gramEnd"/>
      <w:r w:rsidR="00A241F9">
        <w:t xml:space="preserve">. </w:t>
      </w:r>
    </w:p>
    <w:p w14:paraId="42BD8E85" w14:textId="1D6F08AE" w:rsidR="00A241F9" w:rsidRDefault="00A241F9" w:rsidP="002C267D"/>
    <w:p w14:paraId="47ACCB9C" w14:textId="77777777" w:rsidR="00652715" w:rsidRDefault="00652715" w:rsidP="002C267D"/>
    <w:p w14:paraId="0DEDD535" w14:textId="2BF4CAF9" w:rsidR="0098360B" w:rsidRDefault="0098360B" w:rsidP="002C267D">
      <w:proofErr w:type="gramStart"/>
      <w:r w:rsidRPr="00652715">
        <w:rPr>
          <w:b/>
          <w:bCs/>
        </w:rPr>
        <w:t>CC</w:t>
      </w:r>
      <w:r w:rsidR="00652715">
        <w:t xml:space="preserve"> </w:t>
      </w:r>
      <w:r w:rsidR="004619B3">
        <w:t xml:space="preserve"> is</w:t>
      </w:r>
      <w:proofErr w:type="gramEnd"/>
      <w:r w:rsidR="004619B3">
        <w:t xml:space="preserve"> a folder containing all the files generated by </w:t>
      </w:r>
      <w:proofErr w:type="spellStart"/>
      <w:r w:rsidR="000F591B">
        <w:rPr>
          <w:i/>
          <w:iCs/>
        </w:rPr>
        <w:t>U</w:t>
      </w:r>
      <w:r w:rsidR="004619B3" w:rsidRPr="000F591B">
        <w:rPr>
          <w:i/>
          <w:iCs/>
        </w:rPr>
        <w:t>search</w:t>
      </w:r>
      <w:proofErr w:type="spellEnd"/>
      <w:r w:rsidR="004619B3">
        <w:t xml:space="preserve"> or </w:t>
      </w:r>
      <w:r w:rsidR="000F591B" w:rsidRPr="000F591B">
        <w:rPr>
          <w:i/>
          <w:iCs/>
        </w:rPr>
        <w:t>B</w:t>
      </w:r>
      <w:r w:rsidR="004619B3" w:rsidRPr="000F591B">
        <w:rPr>
          <w:i/>
          <w:iCs/>
        </w:rPr>
        <w:t>last</w:t>
      </w:r>
      <w:r w:rsidR="00652715">
        <w:t xml:space="preserve"> (each genome compared to the pivot genome).</w:t>
      </w:r>
    </w:p>
    <w:p w14:paraId="477CC666" w14:textId="77777777" w:rsidR="00996B5F" w:rsidRDefault="00996B5F" w:rsidP="002C267D"/>
    <w:p w14:paraId="171BCDB8" w14:textId="20AFBB93" w:rsidR="00B86A3A" w:rsidRDefault="00B86A3A" w:rsidP="002C267D"/>
    <w:p w14:paraId="10BBC4EE" w14:textId="66597DEC" w:rsidR="00B86A3A" w:rsidRDefault="00B86A3A" w:rsidP="002C267D"/>
    <w:p w14:paraId="1240A7EB" w14:textId="5576AC66" w:rsidR="00A72E5D" w:rsidRDefault="00A72E5D" w:rsidP="002C267D"/>
    <w:p w14:paraId="44C0B094" w14:textId="2F42EA58" w:rsidR="00A72E5D" w:rsidRDefault="00A72E5D" w:rsidP="002C267D"/>
    <w:p w14:paraId="3524FDDF" w14:textId="77777777" w:rsidR="00A72E5D" w:rsidRDefault="00A72E5D" w:rsidP="002C267D"/>
    <w:p w14:paraId="4126508D" w14:textId="1B324325" w:rsidR="005569B6" w:rsidRPr="00D435B5" w:rsidRDefault="005569B6" w:rsidP="0031110E">
      <w:pPr>
        <w:spacing w:line="360" w:lineRule="auto"/>
        <w:rPr>
          <w:b/>
          <w:bCs/>
        </w:rPr>
      </w:pPr>
      <w:r w:rsidRPr="00D435B5">
        <w:rPr>
          <w:b/>
          <w:bCs/>
        </w:rPr>
        <w:lastRenderedPageBreak/>
        <w:t xml:space="preserve">The </w:t>
      </w:r>
      <w:proofErr w:type="spellStart"/>
      <w:r w:rsidRPr="00D435B5">
        <w:rPr>
          <w:b/>
          <w:bCs/>
        </w:rPr>
        <w:t>CoreCruncher</w:t>
      </w:r>
      <w:proofErr w:type="spellEnd"/>
      <w:r w:rsidRPr="00D435B5">
        <w:rPr>
          <w:b/>
          <w:bCs/>
        </w:rPr>
        <w:t xml:space="preserve"> process</w:t>
      </w:r>
    </w:p>
    <w:p w14:paraId="7246ABB8" w14:textId="1C36A469" w:rsidR="005569B6" w:rsidRDefault="005569B6" w:rsidP="0031110E">
      <w:pPr>
        <w:spacing w:line="360" w:lineRule="auto"/>
      </w:pPr>
    </w:p>
    <w:p w14:paraId="34936CE8" w14:textId="77777777" w:rsidR="00E47ED6" w:rsidRDefault="00E47ED6" w:rsidP="0031110E">
      <w:pPr>
        <w:spacing w:line="360" w:lineRule="auto"/>
        <w:rPr>
          <w:rFonts w:ascii="Libre Baskerville" w:eastAsia="Libre Baskerville" w:hAnsi="Libre Baskerville" w:cs="Libre Baskerville"/>
        </w:rPr>
      </w:pPr>
      <w:r>
        <w:rPr>
          <w:rFonts w:ascii="Libre Baskerville" w:eastAsia="Libre Baskerville" w:hAnsi="Libre Baskerville" w:cs="Libre Baskerville"/>
        </w:rPr>
        <w:t xml:space="preserve">Due to the accumulation of sequencing data, it has become common place to analyze hundreds to thousands of complete genome sequences during the study of a single prokaryotic species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&lt;EndNote&gt;&lt;Cite&gt;&lt;Author&gt;Parks&lt;/Author&gt;&lt;Year&gt;2018&lt;/Year&gt;&lt;RecNum&gt;2284&lt;/RecNum&gt;&lt;DisplayText&gt;(Parks, et al., 2018)&lt;/DisplayText&gt;&lt;record&gt;&lt;rec-number&gt;2284&lt;/rec-number&gt;&lt;foreign-keys&gt;&lt;key app="EN" db-id="52020pvz5a2tr5es0zpxs223zfx50twzt5vx" timestamp="1539293806"&gt;2284&lt;/key&gt;&lt;/foreign-keys&gt;&lt;ref-type name="Journal Article"&gt;17&lt;/ref-type&gt;&lt;contributors&gt;&lt;authors&gt;&lt;author&gt;Parks, D. H.&lt;/author&gt;&lt;author&gt;Chuvochina, M.&lt;/author&gt;&lt;author&gt;Waite, D. W.&lt;/author&gt;&lt;author&gt;Rinke, C.&lt;/author&gt;&lt;author&gt;Skarshewski, A.&lt;/author&gt;&lt;author&gt;Chaumeil, P. A.&lt;/author&gt;&lt;author&gt;Hugenholtz, P.&lt;/author&gt;&lt;/authors&gt;&lt;/contributors&gt;&lt;auth-address&gt;Australian Centre for Ecogenomics, School of Chemistry and Molecular Biosciences, University of Queensland, Queensland, Australia.&lt;/auth-address&gt;&lt;titles&gt;&lt;title&gt;A standardized bacterial taxonomy based on genome phylogeny substantially revises the tree of life&lt;/title&gt;&lt;secondary-title&gt;Nat Biotechnol&lt;/secondary-title&gt;&lt;/titles&gt;&lt;periodical&gt;&lt;full-title&gt;Nat Biotechnol&lt;/full-title&gt;&lt;/periodical&gt;&lt;edition&gt;2018/08/28&lt;/edition&gt;&lt;dates&gt;&lt;year&gt;2018&lt;/year&gt;&lt;pub-dates&gt;&lt;date&gt;Aug 27&lt;/date&gt;&lt;/pub-dates&gt;&lt;/dates&gt;&lt;isbn&gt;1546-1696 (Electronic)&amp;#xD;1087-0156 (Linking)&lt;/isbn&gt;&lt;accession-num&gt;30148503&lt;/accession-num&gt;&lt;urls&gt;&lt;related-urls&gt;&lt;url&gt;https://www.ncbi.nlm.nih.gov/pubmed/30148503&lt;/url&gt;&lt;/related-urls&gt;&lt;/urls&gt;&lt;electronic-resource-num&gt;10.1038/nbt.4229&lt;/electronic-resource-num&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(Parks, et al., 2018)</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Most algorithms implemented to define orthologous genes first rely on pairwise genome comparisons; a task that is becoming increasingly difficult to complete as datasets grow in size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&lt;EndNote&gt;&lt;Cite&gt;&lt;Author&gt;Kristensen&lt;/Author&gt;&lt;Year&gt;2011&lt;/Year&gt;&lt;RecNum&gt;2593&lt;/RecNum&gt;&lt;DisplayText&gt;(Kristensen, et al., 2011)&lt;/DisplayText&gt;&lt;record&gt;&lt;rec-number&gt;2593&lt;/rec-number&gt;&lt;foreign-keys&gt;&lt;key app="EN" db-id="52020pvz5a2tr5es0zpxs223zfx50twzt5vx" timestamp="1591898278"&gt;2593&lt;/key&gt;&lt;/foreign-keys&gt;&lt;ref-type name="Journal Article"&gt;17&lt;/ref-type&gt;&lt;contributors&gt;&lt;authors&gt;&lt;author&gt;Kristensen, D. M.&lt;/author&gt;&lt;author&gt;Wolf, Y. I.&lt;/author&gt;&lt;author&gt;Mushegian, A. R.&lt;/author&gt;&lt;author&gt;Koonin, E. V.&lt;/author&gt;&lt;/authors&gt;&lt;/contributors&gt;&lt;auth-address&gt;National Center for Biotechnology Information, National Library of Medicine, National Institutes of Health, Bethesda, MD 20894, USA.&lt;/auth-address&gt;&lt;titles&gt;&lt;title&gt;Computational methods for Gene Orthology inference&lt;/title&gt;&lt;secondary-title&gt;Brief Bioinform&lt;/secondary-title&gt;&lt;/titles&gt;&lt;periodical&gt;&lt;full-title&gt;Brief Bioinform&lt;/full-title&gt;&lt;/periodical&gt;&lt;pages&gt;379-91&lt;/pages&gt;&lt;volume&gt;12&lt;/volume&gt;&lt;number&gt;5&lt;/number&gt;&lt;edition&gt;2011/06/22&lt;/edition&gt;&lt;keywords&gt;&lt;keyword&gt;Algorithms&lt;/keyword&gt;&lt;keyword&gt;Animals&lt;/keyword&gt;&lt;keyword&gt;Computational Biology&lt;/keyword&gt;&lt;keyword&gt;Evolution, Molecular&lt;/keyword&gt;&lt;keyword&gt;*Genome&lt;/keyword&gt;&lt;keyword&gt;Genomics/*methods&lt;/keyword&gt;&lt;keyword&gt;Humans&lt;/keyword&gt;&lt;keyword&gt;*Phylogeny&lt;/keyword&gt;&lt;keyword&gt;*Synteny&lt;/keyword&gt;&lt;/keywords&gt;&lt;dates&gt;&lt;year&gt;2011&lt;/year&gt;&lt;pub-dates&gt;&lt;date&gt;Sep&lt;/date&gt;&lt;/pub-dates&gt;&lt;/dates&gt;&lt;isbn&gt;1477-4054 (Electronic)&amp;#xD;1467-5463 (Linking)&lt;/isbn&gt;&lt;accession-num&gt;21690100&lt;/accession-num&gt;&lt;urls&gt;&lt;related-urls&gt;&lt;url&gt;https://www.ncbi.nlm.nih.gov/pubmed/21690100&lt;/url&gt;&lt;/related-urls&gt;&lt;/urls&gt;&lt;custom2&gt;PMC3178053&lt;/custom2&gt;&lt;electronic-resource-num&gt;10.1093/bib/bbr030&lt;/electronic-resource-num&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(Kristensen, et al., 2011)</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To circumvent this issue, we have developed an approach that does not conduct all pairwise genome comparisons and instead, robustly identifies core genomes based on our “double outliers” approach to distinguish true orthologs from paralogs. </w:t>
      </w:r>
    </w:p>
    <w:p w14:paraId="16C5C884" w14:textId="77777777" w:rsidR="00E47ED6" w:rsidRDefault="00E47ED6" w:rsidP="0031110E">
      <w:pPr>
        <w:spacing w:line="360" w:lineRule="auto"/>
        <w:ind w:firstLine="720"/>
        <w:rPr>
          <w:rFonts w:ascii="Libre Baskerville" w:eastAsia="Libre Baskerville" w:hAnsi="Libre Baskerville" w:cs="Libre Baskerville"/>
        </w:rPr>
      </w:pPr>
      <w:r>
        <w:rPr>
          <w:rFonts w:ascii="Libre Baskerville" w:eastAsia="Libre Baskerville" w:hAnsi="Libre Baskerville" w:cs="Libre Baskerville"/>
        </w:rPr>
        <w:t xml:space="preserve">In prokaryotes, the vast majority of paralogs are gained by horizontal gene transfer (HGT) </w:t>
      </w:r>
      <w:r>
        <w:rPr>
          <w:rFonts w:ascii="Libre Baskerville" w:eastAsia="Libre Baskerville" w:hAnsi="Libre Baskerville" w:cs="Libre Baskerville"/>
        </w:rPr>
        <w:fldChar w:fldCharType="begin">
          <w:fldData xml:space="preserve">PEVuZE5vdGU+PENpdGU+PEF1dGhvcj5UcmVhbmdlbjwvQXV0aG9yPjxZZWFyPjIwMTE8L1llYXI+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==
</w:fldData>
        </w:fldChar>
      </w:r>
      <w:r>
        <w:rPr>
          <w:rFonts w:ascii="Libre Baskerville" w:eastAsia="Libre Baskerville" w:hAnsi="Libre Baskerville" w:cs="Libre Baskerville"/>
        </w:rPr>
        <w:instrText xml:space="preserve"> ADDIN EN.CITE </w:instrText>
      </w:r>
      <w:r>
        <w:rPr>
          <w:rFonts w:ascii="Libre Baskerville" w:eastAsia="Libre Baskerville" w:hAnsi="Libre Baskerville" w:cs="Libre Baskerville"/>
        </w:rPr>
        <w:fldChar w:fldCharType="begin">
          <w:fldData xml:space="preserve">PEVuZE5vdGU+PENpdGU+PEF1dGhvcj5UcmVhbmdlbjwvQXV0aG9yPjxZZWFyPjIwMTE8L1llYXI+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==
</w:fldData>
        </w:fldChar>
      </w:r>
      <w:r>
        <w:rPr>
          <w:rFonts w:ascii="Libre Baskerville" w:eastAsia="Libre Baskerville" w:hAnsi="Libre Baskerville" w:cs="Libre Baskerville"/>
        </w:rPr>
        <w:instrText xml:space="preserve"> ADDIN EN.CITE.DATA </w:instrText>
      </w:r>
      <w:r>
        <w:rPr>
          <w:rFonts w:ascii="Libre Baskerville" w:eastAsia="Libre Baskerville" w:hAnsi="Libre Baskerville" w:cs="Libre Baskerville"/>
        </w:rPr>
      </w:r>
      <w:r>
        <w:rPr>
          <w:rFonts w:ascii="Libre Baskerville" w:eastAsia="Libre Baskerville" w:hAnsi="Libre Baskerville" w:cs="Libre Baskerville"/>
        </w:rPr>
        <w:fldChar w:fldCharType="end"/>
      </w:r>
      <w:r>
        <w:rPr>
          <w:rFonts w:ascii="Libre Baskerville" w:eastAsia="Libre Baskerville" w:hAnsi="Libre Baskerville" w:cs="Libre Baskerville"/>
        </w:rPr>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(Treangen and Rocha, 2011)</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which leads to the introduction of sequences that are expected to present atypical features relative to true orthologs (i.e. typically more divergent sequences). To robustly exclude paralogs, our method first identifies homologous sequences by comparing each genome against a pivot genome. Specifically, </w:t>
      </w:r>
      <w:proofErr w:type="spellStart"/>
      <w:r w:rsidRPr="004C23C8">
        <w:rPr>
          <w:rFonts w:ascii="Libre Baskerville" w:eastAsia="Libre Baskerville" w:hAnsi="Libre Baskerville" w:cs="Libre Baskerville"/>
          <w:i/>
          <w:iCs/>
        </w:rPr>
        <w:t>CoreCruncher</w:t>
      </w:r>
      <w:proofErr w:type="spellEnd"/>
      <w:r>
        <w:rPr>
          <w:rFonts w:ascii="Libre Baskerville" w:eastAsia="Libre Baskerville" w:hAnsi="Libre Baskerville" w:cs="Libre Baskerville"/>
        </w:rPr>
        <w:t xml:space="preserve"> uses </w:t>
      </w:r>
      <w:proofErr w:type="spellStart"/>
      <w:r>
        <w:rPr>
          <w:rFonts w:ascii="Libre Baskerville" w:eastAsia="Libre Baskerville" w:hAnsi="Libre Baskerville" w:cs="Libre Baskerville"/>
          <w:i/>
        </w:rPr>
        <w:t>Usearch</w:t>
      </w:r>
      <w:proofErr w:type="spellEnd"/>
      <w:r>
        <w:rPr>
          <w:rFonts w:ascii="Libre Baskerville" w:eastAsia="Libre Baskerville" w:hAnsi="Libre Baskerville" w:cs="Libre Baskerville"/>
        </w:rPr>
        <w:t xml:space="preserve">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&lt;EndNote&gt;&lt;Cite&gt;&lt;Author&gt;Edgar&lt;/Author&gt;&lt;Year&gt;2010&lt;/Year&gt;&lt;RecNum&gt;1511&lt;/RecNum&gt;&lt;DisplayText&gt;(Edgar, 2010)&lt;/DisplayText&gt;&lt;record&gt;&lt;rec-number&gt;1511&lt;/rec-number&gt;&lt;foreign-keys&gt;&lt;key app="EN" db-id="52020pvz5a2tr5es0zpxs223zfx50twzt5vx" timestamp="1422746316"&gt;1511&lt;/key&gt;&lt;/foreign-keys&gt;&lt;ref-type name="Journal Article"&gt;17&lt;/ref-type&gt;&lt;contributors&gt;&lt;authors&gt;&lt;author&gt;Edgar, R. C.&lt;/author&gt;&lt;/authors&gt;&lt;/contributors&gt;&lt;auth-address&gt;Tiburon, CA 94920, USA. robert@drive5.com&lt;/auth-address&gt;&lt;titles&gt;&lt;title&gt;Search and clustering orders of magnitude faster than BLAST&lt;/title&gt;&lt;secondary-title&gt;Bioinformatics&lt;/secondary-title&gt;&lt;/titles&gt;&lt;periodical&gt;&lt;full-title&gt;Bioinformatics&lt;/full-title&gt;&lt;abbr-1&gt;Bioinformatics&lt;/abbr-1&gt;&lt;/periodical&gt;&lt;pages&gt;2460-1&lt;/pages&gt;&lt;volume&gt;26&lt;/volume&gt;&lt;number&gt;19&lt;/number&gt;&lt;edition&gt;2010/08/17&lt;/edition&gt;&lt;keywords&gt;&lt;keyword&gt;*Algorithms&lt;/keyword&gt;&lt;keyword&gt;Cluster Analysis&lt;/keyword&gt;&lt;keyword&gt;Computational Biology/*methods&lt;/keyword&gt;&lt;keyword&gt;Databases, Protein&lt;/keyword&gt;&lt;keyword&gt;Proteins/chemistry&lt;/keyword&gt;&lt;keyword&gt;Sequence Alignment/*methods&lt;/keyword&gt;&lt;keyword&gt;Sequence Analysis, Protein/*methods&lt;/keyword&gt;&lt;/keywords&gt;&lt;dates&gt;&lt;year&gt;2010&lt;/year&gt;&lt;pub-dates&gt;&lt;date&gt;Oct 1&lt;/date&gt;&lt;/pub-dates&gt;&lt;/dates&gt;&lt;isbn&gt;1367-4811 (Electronic)&amp;#xD;1367-4803 (Linking)&lt;/isbn&gt;&lt;accession-num&gt;20709691&lt;/accession-num&gt;&lt;urls&gt;&lt;related-urls&gt;&lt;url&gt;http://www.ncbi.nlm.nih.gov/entrez/query.fcgi?cmd=Retrieve&amp;amp;db=PubMed&amp;amp;dopt=Citation&amp;amp;list_uids=20709691&lt;/url&gt;&lt;/related-urls&gt;&lt;/urls&gt;&lt;electronic-resource-num&gt;btq461 [pii]&amp;#xD;10.1093/bioinformatics/btq461&lt;/electronic-resource-num&gt;&lt;language&gt;eng&lt;/language&gt;&lt;/record&gt;&lt;/Cite&gt;&lt;/EndNote&gt;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(Edgar, 2010)</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(default) or </w:t>
      </w:r>
      <w:r>
        <w:rPr>
          <w:rFonts w:ascii="Libre Baskerville" w:eastAsia="Libre Baskerville" w:hAnsi="Libre Baskerville" w:cs="Libre Baskerville"/>
          <w:i/>
        </w:rPr>
        <w:t>Blast</w:t>
      </w:r>
      <w:r>
        <w:rPr>
          <w:rFonts w:ascii="Libre Baskerville" w:eastAsia="Libre Baskerville" w:hAnsi="Libre Baskerville" w:cs="Libre Baskerville"/>
        </w:rPr>
        <w:t xml:space="preserve">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&lt;EndNote&gt;&lt;Cite&gt;&lt;Author&gt;Altschul&lt;/Author&gt;&lt;Year&gt;1997&lt;/Year&gt;&lt;RecNum&gt;885&lt;/RecNum&gt;&lt;DisplayText&gt;(Altschul, et al., 1997)&lt;/DisplayText&gt;&lt;record&gt;&lt;rec-number&gt;885&lt;/rec-number&gt;&lt;foreign-keys&gt;&lt;key app="EN" db-id="52020pvz5a2tr5es0zpxs223zfx50twzt5vx" timestamp="0"&gt;885&lt;/key&gt;&lt;/foreign-keys&gt;&lt;ref-type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Res&lt;/full-title&gt;&lt;/periodical&gt;&lt;pages&gt;3389-402&lt;/pages&gt;&lt;volume&gt;25&lt;/volume&gt;&lt;number&gt;17&lt;/number&gt;&lt;edition&gt;1997/09/01&lt;/edition&gt;&lt;keywords&gt;&lt;keyword&gt;Algorithms&lt;/keyword&gt;&lt;keyword&gt;Amino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Data&lt;/keyword&gt;&lt;keyword&gt;Proteins/*chemistry&lt;/keyword&gt;&lt;keyword&gt;*Sequence Alignment&lt;/keyword&gt;&lt;keyword&gt;*Software&lt;/keyword&gt;&lt;/keywords&gt;&lt;dates&gt;&lt;year&gt;1997&lt;/year&gt;&lt;pub-dates&gt;&lt;date&gt;Sep 1&lt;/date&gt;&lt;/pub-dates&gt;&lt;/dates&gt;&lt;isbn&gt;0305-1048 (Print)&amp;#xD;0305-1048 (Linking)&lt;/isbn&gt;&lt;accession-num&gt;9254694&lt;/accession-num&gt;&lt;urls&gt;&lt;related-urls&gt;&lt;url&gt;http://www.ncbi.nlm.nih.gov/entrez/query.fcgi?cmd=Retrieve&amp;amp;db=PubMed&amp;amp;dopt=Citation&amp;amp;list_uids=9254694&lt;/url&gt;&lt;/related-urls&gt;&lt;/urls&gt;&lt;custom2&gt;146917&lt;/custom2&gt;&lt;electronic-resource-num&gt;gka562 [pii]&lt;/electronic-resource-num&gt;&lt;language&gt;eng&lt;/language&gt;&lt;/record&gt;&lt;/Cite&gt;&lt;/EndNote&gt;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(Altschul, et al., 1997)</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to identify homologs based on sequence identity and sequence length. For each gene sequence of the pivot genome, each best hit is considered as a putative ortholog while other hits are directly classified as paralogs (i.e. in-paralogs). </w:t>
      </w:r>
      <w:proofErr w:type="gramStart"/>
      <w:r>
        <w:rPr>
          <w:rFonts w:ascii="Libre Baskerville" w:eastAsia="Libre Baskerville" w:hAnsi="Libre Baskerville" w:cs="Libre Baskerville"/>
        </w:rPr>
        <w:t>All of</w:t>
      </w:r>
      <w:proofErr w:type="gramEnd"/>
      <w:r>
        <w:rPr>
          <w:rFonts w:ascii="Libre Baskerville" w:eastAsia="Libre Baskerville" w:hAnsi="Libre Baskerville" w:cs="Libre Baskerville"/>
        </w:rPr>
        <w:t xml:space="preserve"> the best hits to each gene of the pivot genome constitute a putative ortholog and, as such, are associated together in an orthologous family. The orthologous family is considered a putative core gene when found in all or nearly all genomes (90% of the genomes by default). This step ultimately results in a putative core genome where no in-paralogs are present however; paralogs may still be included due to more complex patterns of gene gains and losses or incomplete genome assemblies—resulting in seeming orthologs (i.e. “hidden paralogs”). These cases </w:t>
      </w:r>
      <w:r w:rsidRPr="004E7298">
        <w:rPr>
          <w:rFonts w:ascii="Libre Baskerville" w:eastAsia="Libre Baskerville" w:hAnsi="Libre Baskerville" w:cs="Libre Baskerville"/>
        </w:rPr>
        <w:t>are expected to occur when the orthologous sequence is lost, but a paralog remains present in the genome (Figure 1). Current</w:t>
      </w:r>
      <w:r>
        <w:rPr>
          <w:rFonts w:ascii="Libre Baskerville" w:eastAsia="Libre Baskerville" w:hAnsi="Libre Baskerville" w:cs="Libre Baskerville"/>
        </w:rPr>
        <w:t xml:space="preserve"> methodologies, based on BBH, are unlikely to recognize these sequences as paralogs and may include them in the core genome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&lt;EndNote&gt;&lt;Cite&gt;&lt;Author&gt;Kristensen&lt;/Author&gt;&lt;Year&gt;2011&lt;/Year&gt;&lt;RecNum&gt;2593&lt;/RecNum&gt;&lt;DisplayText&gt;(Kristensen, et al., 2011)&lt;/DisplayText&gt;&lt;record&gt;&lt;rec-number&gt;2593&lt;/rec-number&gt;&lt;foreign-keys&gt;&lt;key app="EN" db-id="52020pvz5a2tr5es0zpxs223zfx50twzt5vx" timestamp="1591898278"&gt;2593&lt;/key&gt;&lt;/foreign-keys&gt;&lt;ref-type name="Journal Article"&gt;17&lt;/ref-type&gt;&lt;contributors&gt;&lt;authors&gt;&lt;author&gt;Kristensen, D. M.&lt;/author&gt;&lt;author&gt;Wolf, Y. I.&lt;/author&gt;&lt;author&gt;Mushegian, A. R.&lt;/author&gt;&lt;author&gt;Koonin, E. V.&lt;/author&gt;&lt;/authors&gt;&lt;/contributors&gt;&lt;auth-address&gt;National Center for Biotechnology Information, National Library of Medicine, National Institutes of Health, Bethesda, MD 20894, USA.&lt;/auth-address&gt;&lt;titles&gt;&lt;title&gt;Computational methods for Gene Orthology inference&lt;/title&gt;&lt;secondary-title&gt;Brief Bioinform&lt;/secondary-title&gt;&lt;/titles&gt;&lt;periodical&gt;&lt;full-title&gt;Brief Bioinform&lt;/full-title&gt;&lt;/periodical&gt;&lt;pages&gt;379-91&lt;/pages&gt;&lt;volume&gt;12&lt;/volume&gt;&lt;number&gt;5&lt;/number&gt;&lt;edition&gt;2011/06/22&lt;/edition&gt;&lt;keywords&gt;&lt;keyword&gt;Algorithms&lt;/keyword&gt;&lt;keyword&gt;Animals&lt;/keyword&gt;&lt;keyword&gt;Computational Biology&lt;/keyword&gt;&lt;keyword&gt;Evolution, Molecular&lt;/keyword&gt;&lt;keyword&gt;*Genome&lt;/keyword&gt;&lt;keyword&gt;Genomics/*methods&lt;/keyword&gt;&lt;keyword&gt;Humans&lt;/keyword&gt;&lt;keyword&gt;*Phylogeny&lt;/keyword&gt;&lt;keyword&gt;*Synteny&lt;/keyword&gt;&lt;/keywords&gt;&lt;dates&gt;&lt;year&gt;2011&lt;/year&gt;&lt;pub-dates&gt;&lt;date&gt;Sep&lt;/date&gt;&lt;/pub-dates&gt;&lt;/dates&gt;&lt;isbn&gt;1477-4054 (Electronic)&amp;#xD;1467-5463 (Linking)&lt;/isbn&gt;&lt;accession-num&gt;21690100&lt;/accession-num&gt;&lt;urls&gt;&lt;related-urls&gt;&lt;url&gt;https://www.ncbi.nlm.nih.gov/pubmed/21690100&lt;/url&gt;&lt;/related-urls&gt;&lt;/urls&gt;&lt;custom2&gt;PMC3178053&lt;/custom2&gt;&lt;electronic-resource-num&gt;10.1093/bib/bbr030&lt;/electronic-resource-num&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(Kristensen, et al., 2011)</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w:t>
      </w:r>
    </w:p>
    <w:p w14:paraId="66B37DE8" w14:textId="57499152" w:rsidR="00E47ED6" w:rsidRDefault="00E47ED6" w:rsidP="0031110E">
      <w:pPr>
        <w:spacing w:line="360" w:lineRule="auto"/>
        <w:ind w:firstLine="720"/>
        <w:rPr>
          <w:rFonts w:ascii="Libre Baskerville" w:eastAsia="Libre Baskerville" w:hAnsi="Libre Baskerville" w:cs="Libre Baskerville"/>
        </w:rPr>
      </w:pPr>
      <w:r>
        <w:rPr>
          <w:rFonts w:ascii="Libre Baskerville" w:eastAsia="Libre Baskerville" w:hAnsi="Libre Baskerville" w:cs="Libre Baskerville"/>
        </w:rPr>
        <w:lastRenderedPageBreak/>
        <w:t xml:space="preserve">Firstly, </w:t>
      </w:r>
      <w:proofErr w:type="spellStart"/>
      <w:r w:rsidRPr="00B33D7C">
        <w:rPr>
          <w:rFonts w:ascii="Libre Baskerville" w:eastAsia="Libre Baskerville" w:hAnsi="Libre Baskerville" w:cs="Libre Baskerville"/>
          <w:i/>
          <w:iCs/>
        </w:rPr>
        <w:t>CoreCruncher</w:t>
      </w:r>
      <w:proofErr w:type="spellEnd"/>
      <w:r>
        <w:rPr>
          <w:rFonts w:ascii="Libre Baskerville" w:eastAsia="Libre Baskerville" w:hAnsi="Libre Baskerville" w:cs="Libre Baskerville"/>
        </w:rPr>
        <w:t xml:space="preserve"> identifies partially hidden paralogs as illustrated in </w:t>
      </w:r>
      <w:r w:rsidRPr="00341B87">
        <w:rPr>
          <w:rFonts w:ascii="Libre Baskerville" w:eastAsia="Libre Baskerville" w:hAnsi="Libre Baskerville" w:cs="Libre Baskerville"/>
        </w:rPr>
        <w:t>Figure 1C</w:t>
      </w:r>
      <w:r w:rsidRPr="00B33D7C">
        <w:rPr>
          <w:rFonts w:ascii="Libre Baskerville" w:eastAsia="Libre Baskerville" w:hAnsi="Libre Baskerville" w:cs="Libre Baskerville"/>
          <w:b/>
          <w:bCs/>
        </w:rPr>
        <w:t>.</w:t>
      </w:r>
      <w:r>
        <w:rPr>
          <w:rFonts w:ascii="Libre Baskerville" w:eastAsia="Libre Baskerville" w:hAnsi="Libre Baskerville" w:cs="Libre Baskerville"/>
        </w:rPr>
        <w:t xml:space="preserve"> Paralogous genes can be hidden paralogs in some genomes (in instances where the orthologous sequence is absent from the genome) and in-paralogs in other genomes. These cases are relatively straightforward to identify: For each putative core gene, the distribution of identity scores of all sequences is built and compared to the identity scores of the in-paralogs, i.e. each sequence is considered to be an ortholog unless an in-paralog with a higher identity score has been identified</w:t>
      </w:r>
      <w:r w:rsidRPr="00F67B9E">
        <w:rPr>
          <w:rFonts w:ascii="Libre Baskerville" w:eastAsia="Libre Baskerville" w:hAnsi="Libre Baskerville" w:cs="Libre Baskerville"/>
        </w:rPr>
        <w:t xml:space="preserve">. </w:t>
      </w:r>
      <w:r w:rsidRPr="00A465BC">
        <w:rPr>
          <w:rFonts w:ascii="Libre Baskerville" w:eastAsia="Libre Baskerville" w:hAnsi="Libre Baskerville" w:cs="Libre Baskerville"/>
        </w:rPr>
        <w:t>In the case where an ortholog presents one or more sequences with</w:t>
      </w:r>
      <w:r>
        <w:rPr>
          <w:rFonts w:ascii="Libre Baskerville" w:eastAsia="Libre Baskerville" w:hAnsi="Libre Baskerville" w:cs="Libre Baskerville"/>
        </w:rPr>
        <w:t xml:space="preserve"> a</w:t>
      </w:r>
      <w:r w:rsidRPr="00A465BC">
        <w:rPr>
          <w:rFonts w:ascii="Libre Baskerville" w:eastAsia="Libre Baskerville" w:hAnsi="Libre Baskerville" w:cs="Libre Baskerville"/>
        </w:rPr>
        <w:t xml:space="preserve"> lower identity score than an in-paralog, the low-identity sequences are excluded from the ortholog</w:t>
      </w:r>
      <w:r>
        <w:rPr>
          <w:rFonts w:ascii="Libre Baskerville" w:eastAsia="Libre Baskerville" w:hAnsi="Libre Baskerville" w:cs="Libre Baskerville"/>
        </w:rPr>
        <w:t>ous family -</w:t>
      </w:r>
      <w:r w:rsidRPr="00A465BC">
        <w:rPr>
          <w:rFonts w:ascii="Libre Baskerville" w:eastAsia="Libre Baskerville" w:hAnsi="Libre Baskerville" w:cs="Libre Baskerville"/>
        </w:rPr>
        <w:t xml:space="preserve"> </w:t>
      </w:r>
      <w:r>
        <w:rPr>
          <w:rFonts w:ascii="Libre Baskerville" w:eastAsia="Libre Baskerville" w:hAnsi="Libre Baskerville" w:cs="Libre Baskerville"/>
        </w:rPr>
        <w:t>which</w:t>
      </w:r>
      <w:r w:rsidRPr="00A465BC">
        <w:rPr>
          <w:rFonts w:ascii="Libre Baskerville" w:eastAsia="Libre Baskerville" w:hAnsi="Libre Baskerville" w:cs="Libre Baskerville"/>
        </w:rPr>
        <w:t xml:space="preserve"> will</w:t>
      </w:r>
      <w:r>
        <w:rPr>
          <w:rFonts w:ascii="Libre Baskerville" w:eastAsia="Libre Baskerville" w:hAnsi="Libre Baskerville" w:cs="Libre Baskerville"/>
        </w:rPr>
        <w:t xml:space="preserve"> still</w:t>
      </w:r>
      <w:r w:rsidRPr="00A465BC">
        <w:rPr>
          <w:rFonts w:ascii="Libre Baskerville" w:eastAsia="Libre Baskerville" w:hAnsi="Libre Baskerville" w:cs="Libre Baskerville"/>
        </w:rPr>
        <w:t xml:space="preserve"> be considered a putative core gene if it meets the frequency criterion (i.e. by default an ortholog</w:t>
      </w:r>
      <w:r>
        <w:rPr>
          <w:rFonts w:ascii="Libre Baskerville" w:eastAsia="Libre Baskerville" w:hAnsi="Libre Baskerville" w:cs="Libre Baskerville"/>
        </w:rPr>
        <w:t>ous family</w:t>
      </w:r>
      <w:r w:rsidRPr="00A465BC">
        <w:rPr>
          <w:rFonts w:ascii="Libre Baskerville" w:eastAsia="Libre Baskerville" w:hAnsi="Libre Baskerville" w:cs="Libre Baskerville"/>
        </w:rPr>
        <w:t xml:space="preserve"> must be present in 90% of the genomes to be considered a </w:t>
      </w:r>
      <w:r>
        <w:rPr>
          <w:rFonts w:ascii="Libre Baskerville" w:eastAsia="Libre Baskerville" w:hAnsi="Libre Baskerville" w:cs="Libre Baskerville"/>
        </w:rPr>
        <w:t xml:space="preserve">putative </w:t>
      </w:r>
      <w:r w:rsidRPr="00A465BC">
        <w:rPr>
          <w:rFonts w:ascii="Libre Baskerville" w:eastAsia="Libre Baskerville" w:hAnsi="Libre Baskerville" w:cs="Libre Baskerville"/>
        </w:rPr>
        <w:t xml:space="preserve">core gene).  When </w:t>
      </w:r>
      <w:proofErr w:type="spellStart"/>
      <w:r w:rsidRPr="00AB284A">
        <w:rPr>
          <w:rFonts w:ascii="Libre Baskerville" w:eastAsia="Libre Baskerville" w:hAnsi="Libre Baskerville" w:cs="Libre Baskerville"/>
          <w:i/>
          <w:iCs/>
        </w:rPr>
        <w:t>CoreCruncher</w:t>
      </w:r>
      <w:proofErr w:type="spellEnd"/>
      <w:r w:rsidRPr="00A465BC">
        <w:rPr>
          <w:rFonts w:ascii="Libre Baskerville" w:eastAsia="Libre Baskerville" w:hAnsi="Libre Baskerville" w:cs="Libre Baskerville"/>
        </w:rPr>
        <w:t xml:space="preserve"> is run with the </w:t>
      </w:r>
      <w:r w:rsidRPr="00AB284A">
        <w:rPr>
          <w:rFonts w:ascii="Libre Baskerville" w:eastAsia="Libre Baskerville" w:hAnsi="Libre Baskerville" w:cs="Libre Baskerville"/>
          <w:i/>
          <w:iCs/>
        </w:rPr>
        <w:t xml:space="preserve">stringent </w:t>
      </w:r>
      <w:r w:rsidRPr="00A465BC">
        <w:rPr>
          <w:rFonts w:ascii="Libre Baskerville" w:eastAsia="Libre Baskerville" w:hAnsi="Libre Baskerville" w:cs="Libre Baskerville"/>
        </w:rPr>
        <w:t xml:space="preserve">option, an </w:t>
      </w:r>
      <w:r>
        <w:rPr>
          <w:rFonts w:ascii="Libre Baskerville" w:eastAsia="Libre Baskerville" w:hAnsi="Libre Baskerville" w:cs="Libre Baskerville"/>
        </w:rPr>
        <w:t>orthologous family</w:t>
      </w:r>
      <w:r w:rsidRPr="00A465BC">
        <w:rPr>
          <w:rFonts w:ascii="Libre Baskerville" w:eastAsia="Libre Baskerville" w:hAnsi="Libre Baskerville" w:cs="Libre Baskerville"/>
        </w:rPr>
        <w:t xml:space="preserve"> is automatically excluded from the core genome if a sequence with a lower identity score than an in-paralog is detected.</w:t>
      </w:r>
      <w:r>
        <w:rPr>
          <w:rFonts w:ascii="Libre Baskerville" w:eastAsia="Libre Baskerville" w:hAnsi="Libre Baskerville" w:cs="Libre Baskerville"/>
        </w:rPr>
        <w:t xml:space="preserve"> Note that this step is only conducted when in-paralogs have been identified for a given orthologous gene family.</w:t>
      </w:r>
    </w:p>
    <w:p w14:paraId="0EF2168F" w14:textId="77777777" w:rsidR="00E47ED6" w:rsidRDefault="00E47ED6" w:rsidP="0031110E">
      <w:pPr>
        <w:spacing w:line="360" w:lineRule="auto"/>
        <w:ind w:firstLine="720"/>
        <w:rPr>
          <w:rFonts w:ascii="Libre Baskerville" w:eastAsia="Libre Baskerville" w:hAnsi="Libre Baskerville" w:cs="Libre Baskerville"/>
        </w:rPr>
      </w:pPr>
      <w:r>
        <w:rPr>
          <w:rFonts w:ascii="Libre Baskerville" w:eastAsia="Libre Baskerville" w:hAnsi="Libre Baskerville" w:cs="Libre Baskerville"/>
        </w:rPr>
        <w:t xml:space="preserve">Secondly, </w:t>
      </w:r>
      <w:proofErr w:type="spellStart"/>
      <w:r w:rsidRPr="00B33D7C">
        <w:rPr>
          <w:rFonts w:ascii="Libre Baskerville" w:eastAsia="Libre Baskerville" w:hAnsi="Libre Baskerville" w:cs="Libre Baskerville"/>
          <w:i/>
          <w:iCs/>
        </w:rPr>
        <w:t>CoreCruncher</w:t>
      </w:r>
      <w:proofErr w:type="spellEnd"/>
      <w:r>
        <w:rPr>
          <w:rFonts w:ascii="Libre Baskerville" w:eastAsia="Libre Baskerville" w:hAnsi="Libre Baskerville" w:cs="Libre Baskerville"/>
        </w:rPr>
        <w:t xml:space="preserve"> </w:t>
      </w:r>
      <w:r w:rsidRPr="004E7298">
        <w:rPr>
          <w:rFonts w:ascii="Libre Baskerville" w:eastAsia="Libre Baskerville" w:hAnsi="Libre Baskerville" w:cs="Libre Baskerville"/>
        </w:rPr>
        <w:t>identifies completely hidden paralogs as represented in Figure 1D. Completely hidden paralogs are hidden paralogs in one or more genomes (orthologous sequence is absent from the genome(s)) without any in-paralogs present</w:t>
      </w:r>
      <w:r>
        <w:rPr>
          <w:rFonts w:ascii="Libre Baskerville" w:eastAsia="Libre Baskerville" w:hAnsi="Libre Baskerville" w:cs="Libre Baskerville"/>
        </w:rPr>
        <w:t xml:space="preserve"> in other genomes. To ensure that no hidden paralogs are included in the core genome, our method identifies sequences that are significantly more divergent from the other sequences of the orthologous gene, while accounting for the overall divergence of each genome. A given gene sequence may present a higher divergence rate relative to other sequences of the orthologous gene, but this may simply be </w:t>
      </w:r>
      <w:proofErr w:type="gramStart"/>
      <w:r>
        <w:rPr>
          <w:rFonts w:ascii="Libre Baskerville" w:eastAsia="Libre Baskerville" w:hAnsi="Libre Baskerville" w:cs="Libre Baskerville"/>
        </w:rPr>
        <w:t>due to the fact that</w:t>
      </w:r>
      <w:proofErr w:type="gramEnd"/>
      <w:r>
        <w:rPr>
          <w:rFonts w:ascii="Libre Baskerville" w:eastAsia="Libre Baskerville" w:hAnsi="Libre Baskerville" w:cs="Libre Baskerville"/>
        </w:rPr>
        <w:t xml:space="preserve"> this gene sequence is present in a more divergent strain. To account </w:t>
      </w:r>
      <w:r w:rsidRPr="004E7298">
        <w:rPr>
          <w:rFonts w:ascii="Libre Baskerville" w:eastAsia="Libre Baskerville" w:hAnsi="Libre Baskerville" w:cs="Libre Baskerville"/>
        </w:rPr>
        <w:t xml:space="preserve">for this, we exclude sequences, or an orthologous family, from the core genome if it is itself, or if it contains, a “double outlier”, which is defined in this study as a sequence that is substantially more divergent from </w:t>
      </w:r>
      <w:proofErr w:type="spellStart"/>
      <w:r w:rsidRPr="004E7298">
        <w:rPr>
          <w:rFonts w:ascii="Libre Baskerville" w:eastAsia="Libre Baskerville" w:hAnsi="Libre Baskerville" w:cs="Libre Baskerville"/>
        </w:rPr>
        <w:t>i</w:t>
      </w:r>
      <w:proofErr w:type="spellEnd"/>
      <w:r w:rsidRPr="004E7298">
        <w:rPr>
          <w:rFonts w:ascii="Libre Baskerville" w:eastAsia="Libre Baskerville" w:hAnsi="Libre Baskerville" w:cs="Libre Baskerville"/>
        </w:rPr>
        <w:t>) the other sequences of the orthologous gene family (Figure 2, distribution 1) and ii) more divergent than the other putative orthologs of the genome (Figure 2, distribution 2). The set of putative core gene sequences is used to draw the distributions of identity scores for each genome that is compared to the pivot</w:t>
      </w:r>
      <w:r>
        <w:rPr>
          <w:rFonts w:ascii="Libre Baskerville" w:eastAsia="Libre Baskerville" w:hAnsi="Libre Baskerville" w:cs="Libre Baskerville"/>
        </w:rPr>
        <w:t xml:space="preserve"> genome (distribution 2). The median value of each distribution is used to estimate the overall </w:t>
      </w:r>
      <w:r>
        <w:rPr>
          <w:rFonts w:ascii="Libre Baskerville" w:eastAsia="Libre Baskerville" w:hAnsi="Libre Baskerville" w:cs="Libre Baskerville"/>
        </w:rPr>
        <w:lastRenderedPageBreak/>
        <w:t xml:space="preserve">divergence between each genome and the pivot genome. Then, for each sequence of each putative core gene, we test for the presence of “double outliers”, which, as defined above, is a sequence that is significantly divergent </w:t>
      </w:r>
      <w:proofErr w:type="spellStart"/>
      <w:r>
        <w:rPr>
          <w:rFonts w:ascii="Libre Baskerville" w:eastAsia="Libre Baskerville" w:hAnsi="Libre Baskerville" w:cs="Libre Baskerville"/>
        </w:rPr>
        <w:t>i</w:t>
      </w:r>
      <w:proofErr w:type="spellEnd"/>
      <w:r>
        <w:rPr>
          <w:rFonts w:ascii="Libre Baskerville" w:eastAsia="Libre Baskerville" w:hAnsi="Libre Baskerville" w:cs="Libre Baskerville"/>
        </w:rPr>
        <w:t xml:space="preserve">) </w:t>
      </w:r>
      <w:r>
        <w:rPr>
          <w:rFonts w:ascii="Libre Baskerville" w:eastAsia="Libre Baskerville" w:hAnsi="Libre Baskerville" w:cs="Libre Baskerville"/>
          <w:i/>
        </w:rPr>
        <w:t>vertically</w:t>
      </w:r>
      <w:r>
        <w:rPr>
          <w:rFonts w:ascii="Libre Baskerville" w:eastAsia="Libre Baskerville" w:hAnsi="Libre Baskerville" w:cs="Libre Baskerville"/>
        </w:rPr>
        <w:t xml:space="preserve">: from the other sequences of the orthologous gene (using distribution 1) and ii) </w:t>
      </w:r>
      <w:r>
        <w:rPr>
          <w:rFonts w:ascii="Libre Baskerville" w:eastAsia="Libre Baskerville" w:hAnsi="Libre Baskerville" w:cs="Libre Baskerville"/>
          <w:i/>
        </w:rPr>
        <w:t>horizontally</w:t>
      </w:r>
      <w:r>
        <w:rPr>
          <w:rFonts w:ascii="Libre Baskerville" w:eastAsia="Libre Baskerville" w:hAnsi="Libre Baskerville" w:cs="Libre Baskerville"/>
        </w:rPr>
        <w:t xml:space="preserve">: from the average identity score computed across all the putative orthologs relative to the pivot genome (using distribution 2). In both cases, a sequence is defined as an outlier with Tuckey’s fences </w:t>
      </w:r>
      <w:r>
        <w:rPr>
          <w:rFonts w:ascii="Libre Baskerville" w:eastAsia="Libre Baskerville" w:hAnsi="Libre Baskerville" w:cs="Libre Baskerville"/>
        </w:rPr>
        <w:fldChar w:fldCharType="begin"/>
      </w:r>
      <w:r>
        <w:rPr>
          <w:rFonts w:ascii="Libre Baskerville" w:eastAsia="Libre Baskerville" w:hAnsi="Libre Baskerville" w:cs="Libre Baskerville"/>
        </w:rPr>
        <w:instrText xml:space="preserve"> ADDIN EN.CITE &lt;EndNote&gt;&lt;Cite&gt;&lt;Author&gt;Tukey&lt;/Author&gt;&lt;Year&gt;1977&lt;/Year&gt;&lt;RecNum&gt;2508&lt;/RecNum&gt;&lt;DisplayText&gt;(Tukey, 1977)&lt;/DisplayText&gt;&lt;record&gt;&lt;rec-number&gt;2508&lt;/rec-number&gt;&lt;foreign-keys&gt;&lt;key app="EN" db-id="52020pvz5a2tr5es0zpxs223zfx50twzt5vx" timestamp="1576265004"&gt;2508&lt;/key&gt;&lt;/foreign-keys&gt;&lt;ref-type name="Book"&gt;6&lt;/ref-type&gt;&lt;contributors&gt;&lt;authors&gt;&lt;author&gt;Tukey, J.W.&lt;/author&gt;&lt;/authors&gt;&lt;/contributors&gt;&lt;titles&gt;&lt;title&gt; Exploratory Data Analysis&lt;/title&gt;&lt;/titles&gt;&lt;dates&gt;&lt;year&gt;1977&lt;/year&gt;&lt;/dates&gt;&lt;pub-location&gt;Reading MA&lt;/pub-location&gt;&lt;publisher&gt;Addison-Wesley&lt;/publisher&gt;&lt;urls&gt;&lt;/urls&gt;&lt;/record&gt;&lt;/Cite&gt;&lt;/EndNote&gt;</w:instrText>
      </w:r>
      <w:r>
        <w:rPr>
          <w:rFonts w:ascii="Libre Baskerville" w:eastAsia="Libre Baskerville" w:hAnsi="Libre Baskerville" w:cs="Libre Baskerville"/>
        </w:rPr>
        <w:fldChar w:fldCharType="separate"/>
      </w:r>
      <w:r>
        <w:rPr>
          <w:rFonts w:ascii="Libre Baskerville" w:eastAsia="Libre Baskerville" w:hAnsi="Libre Baskerville" w:cs="Libre Baskerville"/>
          <w:noProof/>
        </w:rPr>
        <w:t>(Tukey, 1977)</w:t>
      </w:r>
      <w:r>
        <w:rPr>
          <w:rFonts w:ascii="Libre Baskerville" w:eastAsia="Libre Baskerville" w:hAnsi="Libre Baskerville" w:cs="Libre Baskerville"/>
        </w:rPr>
        <w:fldChar w:fldCharType="end"/>
      </w:r>
      <w:r>
        <w:rPr>
          <w:rFonts w:ascii="Libre Baskerville" w:eastAsia="Libre Baskerville" w:hAnsi="Libre Baskerville" w:cs="Libre Baskerville"/>
        </w:rPr>
        <w:t xml:space="preserve">: if its identity threshold is below Q1-1.5(Q3-Q1) or above Q3+1.5(Q3-Q1), with Q1 and Q3 the values of the first and third quartiles, respectively. When a given sequence is inferred as a double outlier, it is considered a hidden paralog and this genome’s sequence is excluded from the putative core gene. Other sequences of the putative core gene will still be considered part of the final core genome </w:t>
      </w:r>
      <w:r w:rsidRPr="00B33D7C">
        <w:rPr>
          <w:rFonts w:ascii="Libre Baskerville" w:eastAsia="Libre Baskerville" w:hAnsi="Libre Baskerville" w:cs="Libre Baskerville"/>
        </w:rPr>
        <w:t xml:space="preserve">if </w:t>
      </w:r>
      <w:r>
        <w:rPr>
          <w:rFonts w:ascii="Libre Baskerville" w:eastAsia="Libre Baskerville" w:hAnsi="Libre Baskerville" w:cs="Libre Baskerville"/>
        </w:rPr>
        <w:t xml:space="preserve">they </w:t>
      </w:r>
      <w:r w:rsidRPr="00B33D7C">
        <w:rPr>
          <w:rFonts w:ascii="Libre Baskerville" w:eastAsia="Libre Baskerville" w:hAnsi="Libre Baskerville" w:cs="Libre Baskerville"/>
        </w:rPr>
        <w:t xml:space="preserve">meet the frequency criterion (i.e. by default an ortholog must be present in 90% of the genomes to be considered a core gene).  When </w:t>
      </w:r>
      <w:proofErr w:type="spellStart"/>
      <w:r w:rsidRPr="00482E05">
        <w:rPr>
          <w:rFonts w:ascii="Libre Baskerville" w:eastAsia="Libre Baskerville" w:hAnsi="Libre Baskerville" w:cs="Libre Baskerville"/>
          <w:i/>
          <w:iCs/>
        </w:rPr>
        <w:t>CoreCruncher</w:t>
      </w:r>
      <w:proofErr w:type="spellEnd"/>
      <w:r w:rsidRPr="00B33D7C">
        <w:rPr>
          <w:rFonts w:ascii="Libre Baskerville" w:eastAsia="Libre Baskerville" w:hAnsi="Libre Baskerville" w:cs="Libre Baskerville"/>
        </w:rPr>
        <w:t xml:space="preserve"> is run with the </w:t>
      </w:r>
      <w:r w:rsidRPr="00482E05">
        <w:rPr>
          <w:rFonts w:ascii="Libre Baskerville" w:eastAsia="Libre Baskerville" w:hAnsi="Libre Baskerville" w:cs="Libre Baskerville"/>
          <w:i/>
          <w:iCs/>
        </w:rPr>
        <w:t>stringent</w:t>
      </w:r>
      <w:r w:rsidRPr="00B33D7C">
        <w:rPr>
          <w:rFonts w:ascii="Libre Baskerville" w:eastAsia="Libre Baskerville" w:hAnsi="Libre Baskerville" w:cs="Libre Baskerville"/>
        </w:rPr>
        <w:t xml:space="preserve"> option, a</w:t>
      </w:r>
      <w:r>
        <w:rPr>
          <w:rFonts w:ascii="Libre Baskerville" w:eastAsia="Libre Baskerville" w:hAnsi="Libre Baskerville" w:cs="Libre Baskerville"/>
        </w:rPr>
        <w:t xml:space="preserve"> putative core gene </w:t>
      </w:r>
      <w:r w:rsidRPr="00B33D7C">
        <w:rPr>
          <w:rFonts w:ascii="Libre Baskerville" w:eastAsia="Libre Baskerville" w:hAnsi="Libre Baskerville" w:cs="Libre Baskerville"/>
        </w:rPr>
        <w:t>is automatically excluded</w:t>
      </w:r>
      <w:r>
        <w:rPr>
          <w:rFonts w:ascii="Libre Baskerville" w:eastAsia="Libre Baskerville" w:hAnsi="Libre Baskerville" w:cs="Libre Baskerville"/>
        </w:rPr>
        <w:t xml:space="preserve"> from the core genome if it contains one or more sequences inferred as a “double outlier”. After filtering out paralogous sequences and/or putative core genes with the “double outlier” test, the final core genome is built.</w:t>
      </w:r>
    </w:p>
    <w:p w14:paraId="774E1FA4" w14:textId="77777777" w:rsidR="005569B6" w:rsidRDefault="005569B6" w:rsidP="002C267D"/>
    <w:p w14:paraId="26E183FC" w14:textId="77777777" w:rsidR="005569B6" w:rsidRDefault="005569B6" w:rsidP="002C267D"/>
    <w:p w14:paraId="442CACE4" w14:textId="00F183F8" w:rsidR="008C403D" w:rsidRDefault="008C403D" w:rsidP="002C267D"/>
    <w:p w14:paraId="4C606C1A" w14:textId="0B20CC12" w:rsidR="008C403D" w:rsidRPr="00DA1152" w:rsidRDefault="007F504F" w:rsidP="002C267D">
      <w:pPr>
        <w:rPr>
          <w:b/>
          <w:bCs/>
        </w:rPr>
      </w:pPr>
      <w:r w:rsidRPr="00DA1152">
        <w:rPr>
          <w:b/>
          <w:bCs/>
        </w:rPr>
        <w:t>Recommendations</w:t>
      </w:r>
    </w:p>
    <w:p w14:paraId="7C4B5477" w14:textId="77777777" w:rsidR="00801B69" w:rsidRPr="00276A8D" w:rsidRDefault="00801B69" w:rsidP="00110EB2">
      <w:pPr>
        <w:spacing w:line="360" w:lineRule="auto"/>
        <w:rPr>
          <w:i/>
          <w:iCs/>
        </w:rPr>
      </w:pPr>
    </w:p>
    <w:p w14:paraId="2B3A5C61" w14:textId="5266C0BA" w:rsidR="007F504F" w:rsidRPr="002C267D" w:rsidRDefault="007F504F" w:rsidP="00110EB2">
      <w:pPr>
        <w:spacing w:line="360" w:lineRule="auto"/>
        <w:ind w:firstLine="720"/>
      </w:pPr>
      <w:proofErr w:type="spellStart"/>
      <w:r w:rsidRPr="00276A8D">
        <w:rPr>
          <w:i/>
          <w:iCs/>
        </w:rPr>
        <w:t>CoreCruncher</w:t>
      </w:r>
      <w:proofErr w:type="spellEnd"/>
      <w:r>
        <w:t xml:space="preserve"> does not compute all pairwise comparisons of genomes, which makes it very efficient. Instead </w:t>
      </w:r>
      <w:proofErr w:type="spellStart"/>
      <w:r w:rsidRPr="00276A8D">
        <w:rPr>
          <w:i/>
          <w:iCs/>
        </w:rPr>
        <w:t>CoreCruncher</w:t>
      </w:r>
      <w:proofErr w:type="spellEnd"/>
      <w:r>
        <w:t xml:space="preserve"> uses a pivot genome against all other genomes are compared. We highly recommend </w:t>
      </w:r>
      <w:r w:rsidR="00704A42">
        <w:t>using</w:t>
      </w:r>
      <w:r>
        <w:t xml:space="preserve"> a good quality genome as the pivot genome, since a </w:t>
      </w:r>
      <w:r w:rsidR="009C5918">
        <w:t>low-</w:t>
      </w:r>
      <w:r w:rsidR="00276A8D">
        <w:t>quality</w:t>
      </w:r>
      <w:r>
        <w:t xml:space="preserve"> pivot genome can result in a substantially smaller core genome. </w:t>
      </w:r>
      <w:r w:rsidR="00BE3CAB">
        <w:t xml:space="preserve">The file name of the genome to use as pivot can be specified with the </w:t>
      </w:r>
      <w:r w:rsidR="00BE3CAB" w:rsidRPr="00BE3CAB">
        <w:rPr>
          <w:b/>
          <w:bCs/>
        </w:rPr>
        <w:t>-ref</w:t>
      </w:r>
      <w:r w:rsidR="00BE3CAB">
        <w:t xml:space="preserve"> option. </w:t>
      </w:r>
      <w:r w:rsidR="001A37BD">
        <w:t xml:space="preserve">The pivot genome must be in the input folder with the other genomes. </w:t>
      </w:r>
    </w:p>
    <w:sectPr w:rsidR="007F504F" w:rsidRPr="002C267D" w:rsidSect="00AB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AA"/>
    <w:rsid w:val="00003253"/>
    <w:rsid w:val="00032806"/>
    <w:rsid w:val="00064A52"/>
    <w:rsid w:val="00064B32"/>
    <w:rsid w:val="000A3E2B"/>
    <w:rsid w:val="000D4580"/>
    <w:rsid w:val="000D7DD9"/>
    <w:rsid w:val="000F591B"/>
    <w:rsid w:val="000F6EB0"/>
    <w:rsid w:val="00110EB2"/>
    <w:rsid w:val="001301BC"/>
    <w:rsid w:val="001558C3"/>
    <w:rsid w:val="0018472F"/>
    <w:rsid w:val="00187F07"/>
    <w:rsid w:val="001A1BFD"/>
    <w:rsid w:val="001A37BD"/>
    <w:rsid w:val="001A59F2"/>
    <w:rsid w:val="001A6E6F"/>
    <w:rsid w:val="001B2203"/>
    <w:rsid w:val="00200520"/>
    <w:rsid w:val="00201307"/>
    <w:rsid w:val="002016E6"/>
    <w:rsid w:val="00206E18"/>
    <w:rsid w:val="00231C5D"/>
    <w:rsid w:val="00232344"/>
    <w:rsid w:val="00256652"/>
    <w:rsid w:val="0026371B"/>
    <w:rsid w:val="00276A8D"/>
    <w:rsid w:val="00297B88"/>
    <w:rsid w:val="002C267D"/>
    <w:rsid w:val="002E68B3"/>
    <w:rsid w:val="0031110E"/>
    <w:rsid w:val="00353908"/>
    <w:rsid w:val="003629EA"/>
    <w:rsid w:val="003933D0"/>
    <w:rsid w:val="003969E3"/>
    <w:rsid w:val="003C0AB8"/>
    <w:rsid w:val="004619B3"/>
    <w:rsid w:val="0047681C"/>
    <w:rsid w:val="0047730B"/>
    <w:rsid w:val="004C2338"/>
    <w:rsid w:val="004F5F77"/>
    <w:rsid w:val="004F6F5E"/>
    <w:rsid w:val="005147C4"/>
    <w:rsid w:val="00515648"/>
    <w:rsid w:val="0052735A"/>
    <w:rsid w:val="005523C0"/>
    <w:rsid w:val="005569B6"/>
    <w:rsid w:val="005C4682"/>
    <w:rsid w:val="005D1B50"/>
    <w:rsid w:val="005D3E3B"/>
    <w:rsid w:val="00604F25"/>
    <w:rsid w:val="00607336"/>
    <w:rsid w:val="00612C2D"/>
    <w:rsid w:val="00616C0A"/>
    <w:rsid w:val="006209CB"/>
    <w:rsid w:val="00652715"/>
    <w:rsid w:val="006739BD"/>
    <w:rsid w:val="006C6598"/>
    <w:rsid w:val="00704A42"/>
    <w:rsid w:val="00721256"/>
    <w:rsid w:val="00757658"/>
    <w:rsid w:val="00767417"/>
    <w:rsid w:val="007A798D"/>
    <w:rsid w:val="007C1B54"/>
    <w:rsid w:val="007D1DAF"/>
    <w:rsid w:val="007E731F"/>
    <w:rsid w:val="007F504F"/>
    <w:rsid w:val="007F5BEE"/>
    <w:rsid w:val="008011AA"/>
    <w:rsid w:val="00801B69"/>
    <w:rsid w:val="0082027F"/>
    <w:rsid w:val="008452A3"/>
    <w:rsid w:val="00847454"/>
    <w:rsid w:val="008551FD"/>
    <w:rsid w:val="008C403D"/>
    <w:rsid w:val="008F7C36"/>
    <w:rsid w:val="0096196F"/>
    <w:rsid w:val="00965B2C"/>
    <w:rsid w:val="00970669"/>
    <w:rsid w:val="0098360B"/>
    <w:rsid w:val="00987E18"/>
    <w:rsid w:val="00990AB0"/>
    <w:rsid w:val="00996B5F"/>
    <w:rsid w:val="009A2F69"/>
    <w:rsid w:val="009C5918"/>
    <w:rsid w:val="00A0193C"/>
    <w:rsid w:val="00A23F01"/>
    <w:rsid w:val="00A241F9"/>
    <w:rsid w:val="00A31D5D"/>
    <w:rsid w:val="00A3207D"/>
    <w:rsid w:val="00A53DC3"/>
    <w:rsid w:val="00A70A9F"/>
    <w:rsid w:val="00A72E5D"/>
    <w:rsid w:val="00AB08D3"/>
    <w:rsid w:val="00AD13AE"/>
    <w:rsid w:val="00AE5A39"/>
    <w:rsid w:val="00B2018B"/>
    <w:rsid w:val="00B33EFA"/>
    <w:rsid w:val="00B410B9"/>
    <w:rsid w:val="00B62342"/>
    <w:rsid w:val="00B86A3A"/>
    <w:rsid w:val="00B94105"/>
    <w:rsid w:val="00B95040"/>
    <w:rsid w:val="00BD5BDF"/>
    <w:rsid w:val="00BE2777"/>
    <w:rsid w:val="00BE3CAB"/>
    <w:rsid w:val="00C17475"/>
    <w:rsid w:val="00C25481"/>
    <w:rsid w:val="00C5530A"/>
    <w:rsid w:val="00C5704A"/>
    <w:rsid w:val="00CC7CBB"/>
    <w:rsid w:val="00D01B85"/>
    <w:rsid w:val="00D07F8C"/>
    <w:rsid w:val="00D32FD6"/>
    <w:rsid w:val="00D435B5"/>
    <w:rsid w:val="00DA1152"/>
    <w:rsid w:val="00DB5A72"/>
    <w:rsid w:val="00E15E7A"/>
    <w:rsid w:val="00E16FBC"/>
    <w:rsid w:val="00E47ED6"/>
    <w:rsid w:val="00E86361"/>
    <w:rsid w:val="00EA2BD8"/>
    <w:rsid w:val="00ED324A"/>
    <w:rsid w:val="00EE2024"/>
    <w:rsid w:val="00EE3AFA"/>
    <w:rsid w:val="00F024DB"/>
    <w:rsid w:val="00F26383"/>
    <w:rsid w:val="00F40FF0"/>
    <w:rsid w:val="00F56F45"/>
    <w:rsid w:val="00F56FD4"/>
    <w:rsid w:val="00F678A5"/>
    <w:rsid w:val="00FA52C7"/>
    <w:rsid w:val="00FB1E13"/>
    <w:rsid w:val="00FD0373"/>
    <w:rsid w:val="00FD1869"/>
    <w:rsid w:val="00FD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F7619"/>
  <w15:chartTrackingRefBased/>
  <w15:docId w15:val="{E5AFA938-23E0-4F44-AC9B-DCF91B37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35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35B5"/>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DB5A72"/>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DB5A72"/>
    <w:rPr>
      <w:rFonts w:ascii="Calibri" w:eastAsia="Calibri" w:hAnsi="Calibri" w:cs="Calibri"/>
      <w:sz w:val="20"/>
      <w:szCs w:val="20"/>
    </w:rPr>
  </w:style>
  <w:style w:type="character" w:styleId="CommentReference">
    <w:name w:val="annotation reference"/>
    <w:basedOn w:val="DefaultParagraphFont"/>
    <w:uiPriority w:val="99"/>
    <w:semiHidden/>
    <w:unhideWhenUsed/>
    <w:rsid w:val="00DB5A7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3069</Words>
  <Characters>17494</Characters>
  <Application>Microsoft Office Word</Application>
  <DocSecurity>0</DocSecurity>
  <Lines>145</Lines>
  <Paragraphs>41</Paragraphs>
  <ScaleCrop>false</ScaleCrop>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Louis-Marie J Bobay</dc:creator>
  <cp:keywords/>
  <dc:description/>
  <cp:lastModifiedBy>Louis-Marie J Bobay</cp:lastModifiedBy>
  <cp:revision>99</cp:revision>
  <dcterms:created xsi:type="dcterms:W3CDTF">2020-06-23T16:02:00Z</dcterms:created>
  <dcterms:modified xsi:type="dcterms:W3CDTF">2020-06-30T17:29:00Z</dcterms:modified>
</cp:coreProperties>
</file>