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737D" w14:textId="60F12FE1" w:rsidR="004C0EA3" w:rsidRPr="004C0EA3" w:rsidRDefault="002F15CC">
      <w:pPr>
        <w:rPr>
          <w:b/>
          <w:bCs/>
          <w:sz w:val="44"/>
          <w:szCs w:val="44"/>
        </w:rPr>
      </w:pPr>
      <w:r>
        <w:rPr>
          <w:b/>
          <w:bCs/>
          <w:sz w:val="44"/>
          <w:szCs w:val="44"/>
        </w:rPr>
        <w:t>Electric Vehicles Around the World</w:t>
      </w:r>
    </w:p>
    <w:p w14:paraId="00665B01" w14:textId="25CE3163" w:rsidR="007479D9" w:rsidRPr="004C0EA3" w:rsidRDefault="001E2C5D">
      <w:pPr>
        <w:rPr>
          <w:sz w:val="32"/>
          <w:szCs w:val="32"/>
        </w:rPr>
      </w:pPr>
      <w:r w:rsidRPr="004C0EA3">
        <w:rPr>
          <w:sz w:val="32"/>
          <w:szCs w:val="32"/>
        </w:rPr>
        <w:t xml:space="preserve">FIT3179 </w:t>
      </w:r>
      <w:r w:rsidR="004C0EA3" w:rsidRPr="004C0EA3">
        <w:rPr>
          <w:sz w:val="32"/>
          <w:szCs w:val="32"/>
        </w:rPr>
        <w:t>Data Visualisation</w:t>
      </w:r>
      <w:r w:rsidRPr="004C0EA3">
        <w:rPr>
          <w:sz w:val="32"/>
          <w:szCs w:val="32"/>
        </w:rPr>
        <w:t xml:space="preserve"> </w:t>
      </w:r>
      <w:r w:rsidR="002F15CC">
        <w:rPr>
          <w:sz w:val="32"/>
          <w:szCs w:val="32"/>
        </w:rPr>
        <w:t>2</w:t>
      </w:r>
      <w:r w:rsidR="004C0EA3" w:rsidRPr="004C0EA3">
        <w:rPr>
          <w:sz w:val="32"/>
          <w:szCs w:val="32"/>
        </w:rPr>
        <w:t xml:space="preserve"> Report</w:t>
      </w:r>
    </w:p>
    <w:p w14:paraId="032B2387" w14:textId="77777777" w:rsidR="004C0EA3" w:rsidRDefault="004C0EA3"/>
    <w:p w14:paraId="0CB7FDFA" w14:textId="77777777" w:rsidR="004C0EA3" w:rsidRDefault="004C0EA3"/>
    <w:p w14:paraId="100A4E4B" w14:textId="77777777" w:rsidR="001E2C5D" w:rsidRDefault="001E2C5D"/>
    <w:p w14:paraId="653C437B" w14:textId="77777777" w:rsidR="001E2C5D" w:rsidRDefault="001E2C5D"/>
    <w:p w14:paraId="158A7497" w14:textId="77777777" w:rsidR="001E2C5D" w:rsidRDefault="001E2C5D"/>
    <w:p w14:paraId="63ABDBF2" w14:textId="77777777" w:rsidR="001E2C5D" w:rsidRDefault="001E2C5D"/>
    <w:p w14:paraId="4EF5ADE3" w14:textId="77777777" w:rsidR="001E2C5D" w:rsidRDefault="001E2C5D"/>
    <w:p w14:paraId="634C3606" w14:textId="77777777" w:rsidR="001E2C5D" w:rsidRDefault="001E2C5D"/>
    <w:p w14:paraId="7F54AB12" w14:textId="77777777" w:rsidR="001E2C5D" w:rsidRDefault="001E2C5D"/>
    <w:p w14:paraId="53250D3D" w14:textId="77777777" w:rsidR="001E2C5D" w:rsidRDefault="001E2C5D"/>
    <w:p w14:paraId="0B740C6B" w14:textId="77777777" w:rsidR="001E2C5D" w:rsidRDefault="001E2C5D"/>
    <w:p w14:paraId="561E6F01" w14:textId="77777777" w:rsidR="001E2C5D" w:rsidRDefault="001E2C5D"/>
    <w:p w14:paraId="463AE5D1" w14:textId="77777777" w:rsidR="001E2C5D" w:rsidRDefault="001E2C5D"/>
    <w:p w14:paraId="04848A42" w14:textId="77777777" w:rsidR="001E2C5D" w:rsidRDefault="001E2C5D"/>
    <w:p w14:paraId="25EC48A1" w14:textId="77777777" w:rsidR="001E2C5D" w:rsidRDefault="001E2C5D"/>
    <w:p w14:paraId="60F268FC" w14:textId="77777777" w:rsidR="001E2C5D" w:rsidRDefault="001E2C5D"/>
    <w:p w14:paraId="2E248A6A" w14:textId="77777777" w:rsidR="001E2C5D" w:rsidRDefault="001E2C5D"/>
    <w:p w14:paraId="5E4204D6" w14:textId="77777777" w:rsidR="001E2C5D" w:rsidRDefault="001E2C5D"/>
    <w:p w14:paraId="6333455D" w14:textId="77777777" w:rsidR="001E2C5D" w:rsidRDefault="001E2C5D"/>
    <w:p w14:paraId="29185912" w14:textId="77777777" w:rsidR="001E2C5D" w:rsidRDefault="001E2C5D"/>
    <w:p w14:paraId="605F7A4F" w14:textId="77777777" w:rsidR="001E2C5D" w:rsidRDefault="001E2C5D"/>
    <w:p w14:paraId="4E7E148F" w14:textId="77777777" w:rsidR="001E2C5D" w:rsidRDefault="001E2C5D"/>
    <w:p w14:paraId="2F3552B2" w14:textId="77777777" w:rsidR="001E2C5D" w:rsidRDefault="001E2C5D"/>
    <w:p w14:paraId="6E26EBD1" w14:textId="77777777" w:rsidR="001E2C5D" w:rsidRDefault="001E2C5D"/>
    <w:p w14:paraId="170F82A8" w14:textId="77777777" w:rsidR="001E2C5D" w:rsidRDefault="001E2C5D"/>
    <w:p w14:paraId="26EFF4DF" w14:textId="77777777" w:rsidR="001E2C5D" w:rsidRDefault="001E2C5D"/>
    <w:p w14:paraId="194F220A" w14:textId="19B96151" w:rsidR="001E2C5D" w:rsidRDefault="001E2C5D"/>
    <w:p w14:paraId="389EE7F3" w14:textId="17B3FAC8" w:rsidR="001E2C5D" w:rsidRDefault="001E2C5D"/>
    <w:p w14:paraId="6AAB0014" w14:textId="3E92EFE9" w:rsidR="001E2C5D" w:rsidRDefault="001E2C5D"/>
    <w:p w14:paraId="49CD0CA9" w14:textId="01183D8A" w:rsidR="001E2C5D" w:rsidRDefault="001E2C5D"/>
    <w:p w14:paraId="6B5FAA40" w14:textId="668DFC74" w:rsidR="001E2C5D" w:rsidRDefault="001E2C5D"/>
    <w:p w14:paraId="0E7E89CB" w14:textId="67B11E2D" w:rsidR="001E2C5D" w:rsidRDefault="001E2C5D"/>
    <w:p w14:paraId="6608B729" w14:textId="6A6BB6EA" w:rsidR="001E2C5D" w:rsidRDefault="001E2C5D"/>
    <w:p w14:paraId="57F25040" w14:textId="4DF62582" w:rsidR="001E2C5D" w:rsidRDefault="001E2C5D"/>
    <w:p w14:paraId="6D86F066" w14:textId="61531179" w:rsidR="001E2C5D" w:rsidRDefault="001E2C5D"/>
    <w:p w14:paraId="14723BD2" w14:textId="77777777" w:rsidR="00243B9C" w:rsidRPr="00243B9C" w:rsidRDefault="00205182">
      <w:pPr>
        <w:rPr>
          <w:b/>
          <w:bCs/>
        </w:rPr>
      </w:pPr>
      <w:r w:rsidRPr="00243B9C">
        <w:rPr>
          <w:b/>
          <w:bCs/>
        </w:rPr>
        <w:t>Link Visualisation:</w:t>
      </w:r>
      <w:r w:rsidR="00243B9C" w:rsidRPr="00243B9C">
        <w:rPr>
          <w:b/>
          <w:bCs/>
        </w:rPr>
        <w:t xml:space="preserve"> </w:t>
      </w:r>
    </w:p>
    <w:p w14:paraId="567FF61C" w14:textId="77777777" w:rsidR="008F3936" w:rsidRDefault="008F3936"/>
    <w:p w14:paraId="689ABE8A" w14:textId="77777777" w:rsidR="008F3936" w:rsidRDefault="008F3936"/>
    <w:p w14:paraId="4783D399" w14:textId="66C928DB" w:rsidR="00243B9C" w:rsidRPr="00205182" w:rsidRDefault="008F3936">
      <w:r w:rsidRPr="008F3936">
        <w:rPr>
          <w:b/>
          <w:bCs/>
        </w:rPr>
        <w:t>Word Count Excluding References and Appendix:</w:t>
      </w:r>
      <w:r>
        <w:t xml:space="preserve"> </w:t>
      </w:r>
      <w:r w:rsidR="00205182">
        <w:t xml:space="preserve"> </w:t>
      </w:r>
    </w:p>
    <w:p w14:paraId="16050007" w14:textId="16FC7C5E" w:rsidR="001E2C5D" w:rsidRDefault="00C72EA5">
      <w:r>
        <w:rPr>
          <w:noProof/>
        </w:rPr>
        <w:drawing>
          <wp:anchor distT="0" distB="0" distL="114300" distR="114300" simplePos="0" relativeHeight="251658240" behindDoc="1" locked="0" layoutInCell="1" allowOverlap="1" wp14:anchorId="281CD7B3" wp14:editId="58B69711">
            <wp:simplePos x="0" y="0"/>
            <wp:positionH relativeFrom="column">
              <wp:posOffset>3496048</wp:posOffset>
            </wp:positionH>
            <wp:positionV relativeFrom="paragraph">
              <wp:posOffset>136749</wp:posOffset>
            </wp:positionV>
            <wp:extent cx="2692325" cy="1495007"/>
            <wp:effectExtent l="0" t="0" r="635" b="3810"/>
            <wp:wrapNone/>
            <wp:docPr id="1816957375" name="Picture 2" descr="monash-university-vector-logo | VM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ash-university-vector-logo | VMIA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325" cy="14950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EC49C" w14:textId="167EBBEF" w:rsidR="001E2C5D" w:rsidRDefault="001E2C5D"/>
    <w:p w14:paraId="184A5450" w14:textId="77777777" w:rsidR="008F3936" w:rsidRDefault="00C72EA5" w:rsidP="001E2C5D">
      <w:r>
        <w:fldChar w:fldCharType="begin"/>
      </w:r>
      <w:r>
        <w:instrText xml:space="preserve"> INCLUDEPICTURE "https://www.vmiac.org.au/wp-content/uploads/monash-university-vector-logo.png" \* MERGEFORMATINET </w:instrText>
      </w:r>
      <w:r w:rsidR="00000000">
        <w:fldChar w:fldCharType="separate"/>
      </w:r>
      <w:r>
        <w:fldChar w:fldCharType="end"/>
      </w:r>
      <w:r>
        <w:fldChar w:fldCharType="begin"/>
      </w:r>
      <w:r>
        <w:instrText xml:space="preserve"> INCLUDEPICTURE "https://e7.pngegg.com/pngimages/518/816/png-clipart-monash-university-faculty-of-business-and-economics-logo-monash-university-malaysia-campus-others-blue-text.png" \* MERGEFORMATINET </w:instrText>
      </w:r>
      <w:r w:rsidR="00000000">
        <w:fldChar w:fldCharType="separate"/>
      </w:r>
      <w:r>
        <w:fldChar w:fldCharType="end"/>
      </w:r>
      <w:r w:rsidR="004C0EA3">
        <w:t>Luke Bonso</w:t>
      </w:r>
    </w:p>
    <w:p w14:paraId="11E1596A" w14:textId="77777777" w:rsidR="002F15CC" w:rsidRDefault="002F15CC" w:rsidP="001E2C5D">
      <w:pPr>
        <w:rPr>
          <w:b/>
          <w:bCs/>
        </w:rPr>
      </w:pPr>
    </w:p>
    <w:p w14:paraId="037BCA08" w14:textId="77777777" w:rsidR="002F15CC" w:rsidRDefault="002F15CC" w:rsidP="001E2C5D">
      <w:pPr>
        <w:rPr>
          <w:b/>
          <w:bCs/>
        </w:rPr>
      </w:pPr>
    </w:p>
    <w:p w14:paraId="49FA1AFA" w14:textId="77777777" w:rsidR="00175253" w:rsidRDefault="001E2C5D" w:rsidP="00175253">
      <w:pPr>
        <w:rPr>
          <w:b/>
          <w:bCs/>
        </w:rPr>
      </w:pPr>
      <w:r w:rsidRPr="001E2C5D">
        <w:rPr>
          <w:b/>
          <w:bCs/>
        </w:rPr>
        <w:lastRenderedPageBreak/>
        <w:t>Domain:</w:t>
      </w:r>
    </w:p>
    <w:p w14:paraId="5B421734" w14:textId="3F70159E" w:rsidR="001E2C5D" w:rsidRDefault="002F15CC" w:rsidP="00175253">
      <w:pPr>
        <w:rPr>
          <w:rFonts w:ascii="Calibri" w:hAnsi="Calibri" w:cs="Calibri"/>
        </w:rPr>
      </w:pPr>
      <w:r>
        <w:rPr>
          <w:rFonts w:ascii="Calibri" w:hAnsi="Calibri" w:cs="Calibri"/>
        </w:rPr>
        <w:t xml:space="preserve">The domain of the dataset is the world’s use and adoption of electric vehicles. The visualisation will examine how different countries have adopted the use of electric vehicles over a time period from 2011 to 2020. This will allow the user to see and compare Australia’s usage rate of electric vehicles to that of the rest of the world. </w:t>
      </w:r>
    </w:p>
    <w:p w14:paraId="12C6F720" w14:textId="77777777" w:rsidR="00175253" w:rsidRPr="001E2C5D" w:rsidRDefault="00175253" w:rsidP="00175253"/>
    <w:p w14:paraId="11811251" w14:textId="77777777" w:rsidR="001E2C5D" w:rsidRPr="001E2C5D" w:rsidRDefault="001E2C5D" w:rsidP="001E2C5D">
      <w:pPr>
        <w:rPr>
          <w:b/>
          <w:bCs/>
        </w:rPr>
      </w:pPr>
      <w:r w:rsidRPr="001E2C5D">
        <w:rPr>
          <w:b/>
          <w:bCs/>
        </w:rPr>
        <w:t>Why?:</w:t>
      </w:r>
    </w:p>
    <w:p w14:paraId="18A5FA96" w14:textId="1241181E" w:rsidR="001E2C5D" w:rsidRPr="001E2C5D" w:rsidRDefault="001E2C5D" w:rsidP="001E2C5D">
      <w:r w:rsidRPr="001E2C5D">
        <w:t>The visualisation will be interesting and useful for users as it will explore which</w:t>
      </w:r>
      <w:r w:rsidR="00EC6878">
        <w:t xml:space="preserve"> countries are more heavily adopting electric vehicles and how sales and stocks of these electric vehicles are changing over time for each country.</w:t>
      </w:r>
    </w:p>
    <w:p w14:paraId="328B048A" w14:textId="77777777" w:rsidR="001E2C5D" w:rsidRPr="001E2C5D" w:rsidRDefault="001E2C5D" w:rsidP="001E2C5D">
      <w:r w:rsidRPr="001E2C5D">
        <w:t> </w:t>
      </w:r>
    </w:p>
    <w:p w14:paraId="1A39F6E1" w14:textId="7AA128F8" w:rsidR="001E2C5D" w:rsidRPr="001E2C5D" w:rsidRDefault="001E2C5D" w:rsidP="001E2C5D">
      <w:r w:rsidRPr="001E2C5D">
        <w:t xml:space="preserve">A user for this visualisation could be those people who would like to invest in </w:t>
      </w:r>
      <w:r w:rsidR="00EC6878">
        <w:t>an electric vehicle.</w:t>
      </w:r>
      <w:r w:rsidRPr="001E2C5D">
        <w:t xml:space="preserve"> Their use case with this visualisation could be to identify trends in </w:t>
      </w:r>
      <w:r w:rsidR="00EC6878">
        <w:t>electric vehicle sales within their respective country, along with trends in how the charging infrastructure has changed over time to see if an electric vehicle is the right choice for them.</w:t>
      </w:r>
    </w:p>
    <w:p w14:paraId="3CC0D9EC" w14:textId="77777777" w:rsidR="001E2C5D" w:rsidRPr="001E2C5D" w:rsidRDefault="001E2C5D" w:rsidP="001E2C5D">
      <w:r w:rsidRPr="001E2C5D">
        <w:t> </w:t>
      </w:r>
    </w:p>
    <w:p w14:paraId="4D7517D0" w14:textId="7CC4323C" w:rsidR="001E2C5D" w:rsidRPr="001E2C5D" w:rsidRDefault="001E2C5D" w:rsidP="001E2C5D">
      <w:r w:rsidRPr="001E2C5D">
        <w:t xml:space="preserve">This visualisation will also be interesting as it could demonstrate which countries are more rapidly moving </w:t>
      </w:r>
      <w:r w:rsidR="00EC6878">
        <w:t>towards electric vehicles</w:t>
      </w:r>
      <w:r w:rsidRPr="001E2C5D">
        <w:t xml:space="preserve">, allowing for the user to see which countries are actually making legitimate strides towards reducing </w:t>
      </w:r>
      <w:r w:rsidR="00EC6878">
        <w:t>the number of fossil fuel powered vehicles on the road</w:t>
      </w:r>
      <w:r w:rsidRPr="001E2C5D">
        <w:t>.</w:t>
      </w:r>
      <w:r w:rsidR="00EC6878">
        <w:t xml:space="preserve"> This could aid auto manufacturers in deciding which markets to target with electric vehicles. </w:t>
      </w:r>
    </w:p>
    <w:p w14:paraId="201F61AD" w14:textId="77777777" w:rsidR="001E2C5D" w:rsidRPr="001E2C5D" w:rsidRDefault="001E2C5D" w:rsidP="001E2C5D">
      <w:r w:rsidRPr="001E2C5D">
        <w:t> </w:t>
      </w:r>
    </w:p>
    <w:p w14:paraId="57126EFD" w14:textId="77777777" w:rsidR="002F15CC" w:rsidRDefault="001E2C5D" w:rsidP="002F15CC">
      <w:pPr>
        <w:rPr>
          <w:b/>
          <w:bCs/>
        </w:rPr>
      </w:pPr>
      <w:r w:rsidRPr="001E2C5D">
        <w:rPr>
          <w:b/>
          <w:bCs/>
        </w:rPr>
        <w:t>Datasets:</w:t>
      </w:r>
    </w:p>
    <w:p w14:paraId="7BF67926" w14:textId="1517F55C" w:rsidR="002F15CC" w:rsidRPr="002F15CC" w:rsidRDefault="002F15CC" w:rsidP="002F15CC">
      <w:pPr>
        <w:rPr>
          <w:b/>
          <w:bCs/>
        </w:rPr>
      </w:pPr>
      <w:r>
        <w:rPr>
          <w:rFonts w:ascii="Calibri" w:hAnsi="Calibri" w:cs="Calibri"/>
        </w:rPr>
        <w:t>The data set which is used is the Kaggle IEA-EV-data dataset</w:t>
      </w:r>
      <w:r w:rsidR="00910ADB">
        <w:rPr>
          <w:rFonts w:ascii="Calibri" w:hAnsi="Calibri" w:cs="Calibri"/>
        </w:rPr>
        <w:t xml:space="preserve"> </w:t>
      </w:r>
      <w:r w:rsidR="00910ADB">
        <w:t>(Shakya, 2023)</w:t>
      </w:r>
      <w:r>
        <w:rPr>
          <w:rFonts w:ascii="Calibri" w:hAnsi="Calibri" w:cs="Calibri"/>
        </w:rPr>
        <w:t xml:space="preserve">. This set is a </w:t>
      </w:r>
      <w:r w:rsidR="00910ADB">
        <w:rPr>
          <w:rFonts w:ascii="Calibri" w:hAnsi="Calibri" w:cs="Calibri"/>
        </w:rPr>
        <w:t>ti</w:t>
      </w:r>
      <w:r>
        <w:rPr>
          <w:rFonts w:ascii="Calibri" w:hAnsi="Calibri" w:cs="Calibri"/>
        </w:rPr>
        <w:t xml:space="preserve">me series for each country, from 2011 to 2020, with the following </w:t>
      </w:r>
      <w:r w:rsidR="00EC6878">
        <w:rPr>
          <w:rFonts w:ascii="Calibri" w:hAnsi="Calibri" w:cs="Calibri"/>
        </w:rPr>
        <w:t>attributes</w:t>
      </w:r>
      <w:r>
        <w:rPr>
          <w:rFonts w:ascii="Calibri" w:hAnsi="Calibri" w:cs="Calibri"/>
        </w:rPr>
        <w:t xml:space="preserve"> recorded; EV sales, EV sales share, EV charging points, EV stock and EV stock share. </w:t>
      </w:r>
    </w:p>
    <w:p w14:paraId="46D2CAB2" w14:textId="760338E6" w:rsidR="00943C0C" w:rsidRDefault="001E2C5D" w:rsidP="001E2C5D">
      <w:r w:rsidRPr="001E2C5D">
        <w:t> </w:t>
      </w:r>
    </w:p>
    <w:p w14:paraId="48A05BE9" w14:textId="0F12AD3D" w:rsidR="00943C0C" w:rsidRPr="004C0EA3" w:rsidRDefault="004C0EA3" w:rsidP="001E2C5D">
      <w:pPr>
        <w:rPr>
          <w:b/>
          <w:bCs/>
        </w:rPr>
      </w:pPr>
      <w:r w:rsidRPr="004C0EA3">
        <w:rPr>
          <w:b/>
          <w:bCs/>
        </w:rPr>
        <w:t>Rationales for Idioms:</w:t>
      </w:r>
    </w:p>
    <w:p w14:paraId="644F98A4" w14:textId="77777777" w:rsidR="004C0EA3" w:rsidRPr="004C0EA3" w:rsidRDefault="004C0EA3" w:rsidP="001E2C5D">
      <w:pPr>
        <w:rPr>
          <w:b/>
          <w:bCs/>
        </w:rPr>
      </w:pPr>
    </w:p>
    <w:p w14:paraId="768AE9A8" w14:textId="45D4C06D" w:rsidR="004C0EA3" w:rsidRDefault="004C0EA3" w:rsidP="004C0EA3">
      <w:pPr>
        <w:ind w:left="720"/>
        <w:rPr>
          <w:b/>
          <w:bCs/>
        </w:rPr>
      </w:pPr>
      <w:r w:rsidRPr="004C0EA3">
        <w:rPr>
          <w:b/>
          <w:bCs/>
        </w:rPr>
        <w:t>Dot Plot:</w:t>
      </w:r>
    </w:p>
    <w:p w14:paraId="5060CFDA" w14:textId="737D6DD4" w:rsidR="00EC4C6D" w:rsidRPr="00EC4C6D" w:rsidRDefault="00EC4C6D" w:rsidP="004C0EA3">
      <w:pPr>
        <w:ind w:left="720"/>
      </w:pPr>
      <w:r>
        <w:t xml:space="preserve">The reason the dot Idiom plot was chosen was to be able to compare </w:t>
      </w:r>
      <w:r w:rsidR="00FC0574">
        <w:t>two main measures (Total Electricity Production and Renewable Electricity Production) for all countries whilst also being able to visualise the population for each country.</w:t>
      </w:r>
      <w:r w:rsidR="00091034">
        <w:t xml:space="preserve"> The log scale on both axis’s was to spread the points to make the points more selectable</w:t>
      </w:r>
      <w:r w:rsidR="00DB3074">
        <w:t xml:space="preserve"> (Robbin, 2012)</w:t>
      </w:r>
      <w:r w:rsidR="00091034">
        <w:t xml:space="preserve">. </w:t>
      </w:r>
    </w:p>
    <w:p w14:paraId="717376BA" w14:textId="77777777" w:rsidR="004C0EA3" w:rsidRPr="004C0EA3" w:rsidRDefault="004C0EA3" w:rsidP="00EC6878">
      <w:pPr>
        <w:rPr>
          <w:b/>
          <w:bCs/>
        </w:rPr>
      </w:pPr>
    </w:p>
    <w:p w14:paraId="613A3C45" w14:textId="509F2D00" w:rsidR="004C0EA3" w:rsidRDefault="004C0EA3" w:rsidP="004C0EA3">
      <w:pPr>
        <w:ind w:left="720"/>
        <w:rPr>
          <w:b/>
          <w:bCs/>
        </w:rPr>
      </w:pPr>
      <w:r w:rsidRPr="004C0EA3">
        <w:rPr>
          <w:b/>
          <w:bCs/>
        </w:rPr>
        <w:t>Stacked Bar Chart:</w:t>
      </w:r>
    </w:p>
    <w:p w14:paraId="67A4DFE8" w14:textId="61EEC294" w:rsidR="00091034" w:rsidRPr="00091034" w:rsidRDefault="00091034" w:rsidP="004C0EA3">
      <w:pPr>
        <w:ind w:left="720"/>
      </w:pPr>
      <w:r>
        <w:t>The stack bar chart was chosen to show how the amount of energy produced from each type of resource changes over time for a selected country. The position on a common scale shows the user how the composition of resources has changed over time.</w:t>
      </w:r>
    </w:p>
    <w:p w14:paraId="3D9CD89F" w14:textId="397AFC62" w:rsidR="004C0EA3" w:rsidRPr="004C0EA3" w:rsidRDefault="004C0EA3" w:rsidP="004C0EA3">
      <w:pPr>
        <w:ind w:left="720"/>
        <w:rPr>
          <w:b/>
          <w:bCs/>
        </w:rPr>
      </w:pPr>
    </w:p>
    <w:p w14:paraId="785BCC66" w14:textId="4B697054" w:rsidR="004C0EA3" w:rsidRDefault="004C0EA3" w:rsidP="004C0EA3">
      <w:pPr>
        <w:ind w:left="720"/>
        <w:rPr>
          <w:b/>
          <w:bCs/>
        </w:rPr>
      </w:pPr>
      <w:r w:rsidRPr="004C0EA3">
        <w:rPr>
          <w:b/>
          <w:bCs/>
        </w:rPr>
        <w:t>Line Chart:</w:t>
      </w:r>
    </w:p>
    <w:p w14:paraId="462122C3" w14:textId="77777777" w:rsidR="00091034" w:rsidRDefault="00091034" w:rsidP="004C0EA3">
      <w:pPr>
        <w:ind w:left="720"/>
      </w:pPr>
      <w:r>
        <w:t>The line chart was used to display how a particular measure changes over time. Multiple lines were added to each line chart to see how multiple attributes changed over time and to see the changes relative to each other.</w:t>
      </w:r>
    </w:p>
    <w:p w14:paraId="0750DB52" w14:textId="77777777" w:rsidR="00D801A5" w:rsidRDefault="00D801A5" w:rsidP="004C0EA3">
      <w:pPr>
        <w:ind w:left="720"/>
      </w:pPr>
    </w:p>
    <w:p w14:paraId="7EFD91B3" w14:textId="0AF5C6AF" w:rsidR="00D801A5" w:rsidRDefault="00D801A5" w:rsidP="004C0EA3">
      <w:pPr>
        <w:ind w:left="720"/>
      </w:pPr>
      <w:r>
        <w:lastRenderedPageBreak/>
        <w:t>Map:</w:t>
      </w:r>
    </w:p>
    <w:p w14:paraId="0767CBD1" w14:textId="77777777" w:rsidR="00D801A5" w:rsidRDefault="00D801A5" w:rsidP="004C0EA3">
      <w:pPr>
        <w:ind w:left="720"/>
      </w:pPr>
    </w:p>
    <w:p w14:paraId="668AC3CD" w14:textId="157C3A36" w:rsidR="00D801A5" w:rsidRDefault="00D801A5" w:rsidP="004C0EA3">
      <w:pPr>
        <w:ind w:left="720"/>
      </w:pPr>
      <w:r>
        <w:t>Pie Chart:</w:t>
      </w:r>
    </w:p>
    <w:p w14:paraId="583A2F11" w14:textId="77777777" w:rsidR="004C0EA3" w:rsidRDefault="004C0EA3" w:rsidP="004C0EA3">
      <w:pPr>
        <w:rPr>
          <w:b/>
          <w:bCs/>
        </w:rPr>
      </w:pPr>
    </w:p>
    <w:p w14:paraId="040321F1" w14:textId="70C6533C" w:rsidR="004C0EA3" w:rsidRDefault="004C0EA3" w:rsidP="004C0EA3">
      <w:pPr>
        <w:rPr>
          <w:b/>
          <w:bCs/>
        </w:rPr>
      </w:pPr>
      <w:r>
        <w:rPr>
          <w:b/>
          <w:bCs/>
        </w:rPr>
        <w:t>Rationales for Design:</w:t>
      </w:r>
    </w:p>
    <w:p w14:paraId="5332B9BF" w14:textId="77777777" w:rsidR="004C0EA3" w:rsidRDefault="004C0EA3" w:rsidP="004C0EA3">
      <w:pPr>
        <w:rPr>
          <w:b/>
          <w:bCs/>
        </w:rPr>
      </w:pPr>
    </w:p>
    <w:p w14:paraId="18CACD9D" w14:textId="42E24F68" w:rsidR="004C0EA3" w:rsidRDefault="004C0EA3" w:rsidP="004C0EA3">
      <w:pPr>
        <w:ind w:left="720"/>
        <w:rPr>
          <w:b/>
          <w:bCs/>
        </w:rPr>
      </w:pPr>
      <w:r>
        <w:rPr>
          <w:b/>
          <w:bCs/>
        </w:rPr>
        <w:t>Layout:</w:t>
      </w:r>
    </w:p>
    <w:p w14:paraId="233333D6" w14:textId="7274913D" w:rsidR="00AC3DBB" w:rsidRPr="00AC3DBB" w:rsidRDefault="00AC3DBB" w:rsidP="004C0EA3">
      <w:pPr>
        <w:ind w:left="720"/>
      </w:pPr>
      <w:r>
        <w:t xml:space="preserve">The visualisation is organised into two main columns. In the left most column at the top there is the main visualisation and under two smaller plots. Then in the right column there are three visualisations. There are two main rows. The first row has the main plot and the first two plots of the right column. The second row has the lower to plots for the first column and the lower plot for the right-side column. All plots are aligned with the sight lines for rows and columns. </w:t>
      </w:r>
    </w:p>
    <w:p w14:paraId="33AE79B0" w14:textId="77777777" w:rsidR="004C0EA3" w:rsidRDefault="004C0EA3" w:rsidP="004C0EA3">
      <w:pPr>
        <w:ind w:left="720"/>
        <w:rPr>
          <w:b/>
          <w:bCs/>
        </w:rPr>
      </w:pPr>
    </w:p>
    <w:p w14:paraId="74076769" w14:textId="7356FF82" w:rsidR="004C0EA3" w:rsidRDefault="004C0EA3" w:rsidP="004C0EA3">
      <w:pPr>
        <w:ind w:left="720"/>
        <w:rPr>
          <w:b/>
          <w:bCs/>
        </w:rPr>
      </w:pPr>
      <w:r>
        <w:rPr>
          <w:b/>
          <w:bCs/>
        </w:rPr>
        <w:t>Colour:</w:t>
      </w:r>
    </w:p>
    <w:p w14:paraId="70804BA1" w14:textId="23A347BA" w:rsidR="005A08EF" w:rsidRDefault="00EC4C6D" w:rsidP="004C0EA3">
      <w:pPr>
        <w:ind w:left="720"/>
      </w:pPr>
      <w:r>
        <w:t xml:space="preserve">The colour chosen for all the </w:t>
      </w:r>
      <w:r w:rsidR="005A08EF">
        <w:t xml:space="preserve">headings </w:t>
      </w:r>
      <w:r>
        <w:t xml:space="preserve">was black, this is as the background of the dashboard is </w:t>
      </w:r>
      <w:r w:rsidR="004B3B9D">
        <w:t>off-white</w:t>
      </w:r>
      <w:r>
        <w:t xml:space="preserve">. </w:t>
      </w:r>
      <w:r w:rsidR="005A08EF">
        <w:t xml:space="preserve">The text paragraphs were chosen to be a dark shade of grey as to emphasize less importance than the headings. </w:t>
      </w:r>
      <w:r>
        <w:t>Th</w:t>
      </w:r>
      <w:r w:rsidR="005A08EF">
        <w:t xml:space="preserve">ese </w:t>
      </w:r>
      <w:r>
        <w:t xml:space="preserve">option was chosen as it would allow the text to be easy to read and avoid the reader having to strain their eyes. </w:t>
      </w:r>
    </w:p>
    <w:p w14:paraId="7A2D8A1A" w14:textId="77777777" w:rsidR="005A08EF" w:rsidRDefault="005A08EF" w:rsidP="004C0EA3">
      <w:pPr>
        <w:ind w:left="720"/>
      </w:pPr>
    </w:p>
    <w:p w14:paraId="7D3B62B0" w14:textId="31E33F8B" w:rsidR="00EC4C6D" w:rsidRPr="00EC4C6D" w:rsidRDefault="00EC4C6D" w:rsidP="004C0EA3">
      <w:pPr>
        <w:ind w:left="720"/>
      </w:pPr>
      <w:r>
        <w:t xml:space="preserve">For the charts a colour-blind friendly pallet was chosen for the lines and legends. This pallet was chosen </w:t>
      </w:r>
      <w:r w:rsidR="004B3B9D">
        <w:t>from online</w:t>
      </w:r>
      <w:r>
        <w:t xml:space="preserve"> as it did not include a combination of reds and greens together. To keep the visualisation consistent all of the charts used the same colour pallet.</w:t>
      </w:r>
    </w:p>
    <w:p w14:paraId="4E8FE3D1" w14:textId="77777777" w:rsidR="004C0EA3" w:rsidRDefault="004C0EA3" w:rsidP="004C0EA3">
      <w:pPr>
        <w:ind w:left="720"/>
        <w:rPr>
          <w:b/>
          <w:bCs/>
        </w:rPr>
      </w:pPr>
    </w:p>
    <w:p w14:paraId="4FEB8215" w14:textId="2D9DA99C" w:rsidR="004C0EA3" w:rsidRDefault="004C0EA3" w:rsidP="004C0EA3">
      <w:pPr>
        <w:ind w:left="720"/>
        <w:rPr>
          <w:b/>
          <w:bCs/>
        </w:rPr>
      </w:pPr>
      <w:r>
        <w:rPr>
          <w:b/>
          <w:bCs/>
        </w:rPr>
        <w:t>Figure-Ground:</w:t>
      </w:r>
    </w:p>
    <w:p w14:paraId="4FA442B2" w14:textId="56C8ACE7" w:rsidR="00AE2E8E" w:rsidRPr="00AE2E8E" w:rsidRDefault="00AE2E8E" w:rsidP="004C0EA3">
      <w:pPr>
        <w:ind w:left="720"/>
      </w:pPr>
      <w:r>
        <w:t xml:space="preserve">For all the plots figure-ground is implemented as when the user clicks on a certain attribute displayed in one of the plots (specific line), or on the legend for that plot, all other attributes will be dulled, and the selected attribute will be highlighted. </w:t>
      </w:r>
    </w:p>
    <w:p w14:paraId="20CE2BCE" w14:textId="77777777" w:rsidR="004C0EA3" w:rsidRDefault="004C0EA3" w:rsidP="004C0EA3">
      <w:pPr>
        <w:ind w:left="720"/>
        <w:rPr>
          <w:b/>
          <w:bCs/>
        </w:rPr>
      </w:pPr>
    </w:p>
    <w:p w14:paraId="00DDFD38" w14:textId="78D9A2E4" w:rsidR="004C0EA3" w:rsidRDefault="004C0EA3" w:rsidP="004C0EA3">
      <w:pPr>
        <w:ind w:left="720"/>
        <w:rPr>
          <w:b/>
          <w:bCs/>
        </w:rPr>
      </w:pPr>
      <w:r>
        <w:rPr>
          <w:b/>
          <w:bCs/>
        </w:rPr>
        <w:t>Typography:</w:t>
      </w:r>
    </w:p>
    <w:p w14:paraId="0BB40614" w14:textId="68A2574B" w:rsidR="005A08EF" w:rsidRPr="005A08EF" w:rsidRDefault="005A08EF" w:rsidP="004C0EA3">
      <w:pPr>
        <w:ind w:left="720"/>
      </w:pPr>
      <w:r>
        <w:t xml:space="preserve">A non-standard, Sans serif-based type face called; </w:t>
      </w:r>
      <w:r w:rsidR="00D801A5">
        <w:t xml:space="preserve">Roboto </w:t>
      </w:r>
      <w:r>
        <w:t xml:space="preserve"> was chosen as the type face for the as it gave the visualisation a professional look whilst still being easy for the user to read. Text was centre aligned as to be placed in a central position below each chart, in order to not make the visualisation look unbalanced. </w:t>
      </w:r>
    </w:p>
    <w:p w14:paraId="6968D183" w14:textId="77777777" w:rsidR="004C0EA3" w:rsidRDefault="004C0EA3" w:rsidP="004C0EA3">
      <w:pPr>
        <w:ind w:left="720"/>
        <w:rPr>
          <w:b/>
          <w:bCs/>
        </w:rPr>
      </w:pPr>
    </w:p>
    <w:p w14:paraId="60FB0522" w14:textId="3E2CF414" w:rsidR="004C0EA3" w:rsidRDefault="004C0EA3" w:rsidP="004C0EA3">
      <w:pPr>
        <w:ind w:left="720"/>
        <w:rPr>
          <w:b/>
          <w:bCs/>
        </w:rPr>
      </w:pPr>
      <w:r>
        <w:rPr>
          <w:b/>
          <w:bCs/>
        </w:rPr>
        <w:t xml:space="preserve">Storytelling: </w:t>
      </w:r>
    </w:p>
    <w:p w14:paraId="49EA7000" w14:textId="755854B5" w:rsidR="00AE2E8E" w:rsidRDefault="00AE2E8E" w:rsidP="004C0EA3">
      <w:pPr>
        <w:ind w:left="720"/>
      </w:pPr>
      <w:r>
        <w:t>The story telling genre which this visualisation implements is that of a comic strip. That is the user reads it left to right, top to bottom. This is as the main plot</w:t>
      </w:r>
      <w:r w:rsidR="00D801A5">
        <w:t>; the map, is in the top right-hand corner of the visualisation and to its left, the intro text to the dashboard, prompting the reader to read left to right, top to bottom.</w:t>
      </w:r>
    </w:p>
    <w:p w14:paraId="6CA2BF20" w14:textId="77777777" w:rsidR="008F3936" w:rsidRDefault="008F3936" w:rsidP="008F3936"/>
    <w:p w14:paraId="01E30E22" w14:textId="77777777" w:rsidR="002230B3" w:rsidRDefault="002230B3" w:rsidP="008F3936">
      <w:pPr>
        <w:rPr>
          <w:b/>
          <w:bCs/>
        </w:rPr>
      </w:pPr>
    </w:p>
    <w:p w14:paraId="5276FC63" w14:textId="77777777" w:rsidR="00EC6878" w:rsidRDefault="00EC6878" w:rsidP="008F3936">
      <w:pPr>
        <w:rPr>
          <w:b/>
          <w:bCs/>
        </w:rPr>
      </w:pPr>
    </w:p>
    <w:p w14:paraId="079216B2" w14:textId="77777777" w:rsidR="00EC6878" w:rsidRDefault="00EC6878" w:rsidP="008F3936">
      <w:pPr>
        <w:rPr>
          <w:b/>
          <w:bCs/>
        </w:rPr>
      </w:pPr>
    </w:p>
    <w:p w14:paraId="07B3AFB1" w14:textId="77777777" w:rsidR="00EC6878" w:rsidRDefault="00EC6878" w:rsidP="008F3936">
      <w:pPr>
        <w:rPr>
          <w:b/>
          <w:bCs/>
        </w:rPr>
      </w:pPr>
    </w:p>
    <w:p w14:paraId="46897AC0" w14:textId="0A7D65B6" w:rsidR="008F3936" w:rsidRDefault="008F3936" w:rsidP="008F3936">
      <w:pPr>
        <w:rPr>
          <w:b/>
          <w:bCs/>
        </w:rPr>
      </w:pPr>
      <w:r w:rsidRPr="00A94582">
        <w:rPr>
          <w:b/>
          <w:bCs/>
        </w:rPr>
        <w:lastRenderedPageBreak/>
        <w:t>References:</w:t>
      </w:r>
    </w:p>
    <w:p w14:paraId="6E452A26" w14:textId="77777777" w:rsidR="008F3936" w:rsidRDefault="008F3936" w:rsidP="008F3936"/>
    <w:p w14:paraId="551217C0" w14:textId="27459091" w:rsidR="008F3936" w:rsidRDefault="008F3936" w:rsidP="00910ADB">
      <w:pPr>
        <w:ind w:left="720"/>
      </w:pPr>
      <w:r>
        <w:t xml:space="preserve">[1] </w:t>
      </w:r>
      <w:r w:rsidR="00910ADB">
        <w:t>Shakya</w:t>
      </w:r>
      <w:r>
        <w:t xml:space="preserve">, </w:t>
      </w:r>
      <w:r w:rsidR="00910ADB">
        <w:t>A</w:t>
      </w:r>
      <w:r>
        <w:t>. (202</w:t>
      </w:r>
      <w:r w:rsidR="00910ADB">
        <w:t>3</w:t>
      </w:r>
      <w:r>
        <w:t xml:space="preserve">). </w:t>
      </w:r>
      <w:r w:rsidR="00910ADB" w:rsidRPr="00910ADB">
        <w:t>IEA EV dataset 2023</w:t>
      </w:r>
      <w:r>
        <w:t xml:space="preserve">. Retrieved from: </w:t>
      </w:r>
      <w:hyperlink r:id="rId6" w:history="1">
        <w:r w:rsidR="00910ADB" w:rsidRPr="003A5FEC">
          <w:rPr>
            <w:rStyle w:val="Hyperlink"/>
          </w:rPr>
          <w:t>https://www.kaggle.com/datasets/aakashshakya/iea-ev-dataset-2023</w:t>
        </w:r>
      </w:hyperlink>
      <w:r w:rsidR="00910ADB">
        <w:t xml:space="preserve"> </w:t>
      </w:r>
    </w:p>
    <w:p w14:paraId="74553C32" w14:textId="77777777" w:rsidR="00443AB6" w:rsidRDefault="00443AB6" w:rsidP="008F3936">
      <w:pPr>
        <w:ind w:left="720"/>
      </w:pPr>
    </w:p>
    <w:p w14:paraId="01E3A7A5" w14:textId="79313E0E" w:rsidR="00443AB6" w:rsidRDefault="00443AB6" w:rsidP="008F3936">
      <w:pPr>
        <w:ind w:left="720"/>
      </w:pPr>
      <w:r>
        <w:t xml:space="preserve">[2] </w:t>
      </w:r>
      <w:proofErr w:type="spellStart"/>
      <w:r>
        <w:t>Brinaru</w:t>
      </w:r>
      <w:proofErr w:type="spellEnd"/>
      <w:r>
        <w:t xml:space="preserve">, A. (2021). How to create a Parallel Coordinate Plot. Retrieved from: </w:t>
      </w:r>
      <w:hyperlink r:id="rId7" w:history="1">
        <w:r w:rsidRPr="00465D0D">
          <w:rPr>
            <w:rStyle w:val="Hyperlink"/>
          </w:rPr>
          <w:t>https://btprovider.com/how-to-create-a-parallel-coordinates-plot/</w:t>
        </w:r>
      </w:hyperlink>
    </w:p>
    <w:p w14:paraId="1BADD59D" w14:textId="77777777" w:rsidR="00DB3074" w:rsidRDefault="00DB3074" w:rsidP="008F3936">
      <w:pPr>
        <w:ind w:left="720"/>
      </w:pPr>
    </w:p>
    <w:p w14:paraId="7CA9D97E" w14:textId="77777777" w:rsidR="00DB3074" w:rsidRDefault="00DB3074" w:rsidP="00DB3074">
      <w:pPr>
        <w:ind w:left="720"/>
      </w:pPr>
      <w:r>
        <w:t xml:space="preserve">[3] Robbin, N. (2012). </w:t>
      </w:r>
      <w:r w:rsidRPr="00DB3074">
        <w:t>When Should I Use Logarithmic Scales in My Charts and Graphs?</w:t>
      </w:r>
      <w:r>
        <w:t>. Retrieved from:</w:t>
      </w:r>
    </w:p>
    <w:p w14:paraId="43A4F1ED" w14:textId="7584D1C1" w:rsidR="00DB3074" w:rsidRDefault="00000000" w:rsidP="00DB3074">
      <w:pPr>
        <w:ind w:left="720"/>
      </w:pPr>
      <w:hyperlink r:id="rId8" w:history="1">
        <w:r w:rsidR="00DB3074" w:rsidRPr="00465D0D">
          <w:rPr>
            <w:rStyle w:val="Hyperlink"/>
          </w:rPr>
          <w:t>https://www.forbes.com/sites/naomirobbins/2012/01/19/when-should-i-use-logarithmic-scales-in-my-charts-and-graphs/?sh=199c5fe65e67</w:t>
        </w:r>
      </w:hyperlink>
    </w:p>
    <w:p w14:paraId="036E6874" w14:textId="77777777" w:rsidR="002230B3" w:rsidRDefault="002230B3" w:rsidP="002230B3"/>
    <w:p w14:paraId="3685A0A5" w14:textId="77777777" w:rsidR="002230B3" w:rsidRDefault="002230B3" w:rsidP="002230B3"/>
    <w:p w14:paraId="5E387929" w14:textId="77777777" w:rsidR="002230B3" w:rsidRDefault="002230B3" w:rsidP="002230B3"/>
    <w:p w14:paraId="35DC800E" w14:textId="77777777" w:rsidR="002230B3" w:rsidRDefault="002230B3" w:rsidP="002230B3"/>
    <w:p w14:paraId="04AB94CC" w14:textId="0BCFC916" w:rsidR="002230B3" w:rsidRPr="002230B3" w:rsidRDefault="002230B3" w:rsidP="002230B3">
      <w:pPr>
        <w:rPr>
          <w:b/>
          <w:bCs/>
        </w:rPr>
      </w:pPr>
      <w:r w:rsidRPr="002230B3">
        <w:rPr>
          <w:b/>
          <w:bCs/>
        </w:rPr>
        <w:t xml:space="preserve">Appendix: </w:t>
      </w:r>
    </w:p>
    <w:p w14:paraId="0B7F8777" w14:textId="77777777" w:rsidR="002230B3" w:rsidRPr="002230B3" w:rsidRDefault="002230B3" w:rsidP="002230B3">
      <w:pPr>
        <w:rPr>
          <w:b/>
          <w:bCs/>
        </w:rPr>
      </w:pPr>
    </w:p>
    <w:p w14:paraId="66DBFA29" w14:textId="3F7C40CE" w:rsidR="002230B3" w:rsidRPr="002230B3" w:rsidRDefault="002230B3" w:rsidP="002230B3">
      <w:pPr>
        <w:rPr>
          <w:b/>
          <w:bCs/>
        </w:rPr>
      </w:pPr>
      <w:r w:rsidRPr="002230B3">
        <w:rPr>
          <w:b/>
          <w:bCs/>
        </w:rPr>
        <w:t>5 Design Sheet:</w:t>
      </w:r>
    </w:p>
    <w:p w14:paraId="7413041C" w14:textId="77139E1D" w:rsidR="002230B3" w:rsidRPr="002230B3" w:rsidRDefault="002230B3" w:rsidP="002230B3">
      <w:pPr>
        <w:rPr>
          <w:b/>
          <w:bCs/>
        </w:rPr>
      </w:pPr>
    </w:p>
    <w:p w14:paraId="7BB93DA6" w14:textId="348C7281" w:rsidR="00716469" w:rsidRDefault="002230B3" w:rsidP="00715977">
      <w:pPr>
        <w:ind w:left="720"/>
        <w:rPr>
          <w:b/>
          <w:bCs/>
        </w:rPr>
      </w:pPr>
      <w:r w:rsidRPr="002230B3">
        <w:rPr>
          <w:b/>
          <w:bCs/>
        </w:rPr>
        <w:t>Sheet 1:</w:t>
      </w:r>
    </w:p>
    <w:p w14:paraId="6354FA5D" w14:textId="49AE0897" w:rsidR="00716469" w:rsidRDefault="002230B3" w:rsidP="00715977">
      <w:pPr>
        <w:ind w:left="720"/>
        <w:rPr>
          <w:b/>
          <w:bCs/>
        </w:rPr>
      </w:pPr>
      <w:r w:rsidRPr="002230B3">
        <w:rPr>
          <w:b/>
          <w:bCs/>
        </w:rPr>
        <w:t>Sheet 2:</w:t>
      </w:r>
    </w:p>
    <w:p w14:paraId="5C96B8F0" w14:textId="6FC26C89" w:rsidR="00716469" w:rsidRDefault="002230B3" w:rsidP="00715977">
      <w:pPr>
        <w:ind w:left="720"/>
        <w:rPr>
          <w:b/>
          <w:bCs/>
        </w:rPr>
      </w:pPr>
      <w:r w:rsidRPr="002230B3">
        <w:rPr>
          <w:b/>
          <w:bCs/>
        </w:rPr>
        <w:t>Sheet 3:</w:t>
      </w:r>
    </w:p>
    <w:p w14:paraId="7A8F14B8" w14:textId="10CAA87A" w:rsidR="00716469" w:rsidRDefault="002230B3" w:rsidP="00715977">
      <w:pPr>
        <w:ind w:left="720"/>
        <w:rPr>
          <w:b/>
          <w:bCs/>
        </w:rPr>
      </w:pPr>
      <w:r w:rsidRPr="002230B3">
        <w:rPr>
          <w:b/>
          <w:bCs/>
        </w:rPr>
        <w:t>Sheet 4:</w:t>
      </w:r>
      <w:r w:rsidR="00716469" w:rsidRPr="00716469">
        <w:rPr>
          <w:b/>
          <w:bCs/>
          <w:noProof/>
        </w:rPr>
        <w:t xml:space="preserve"> </w:t>
      </w:r>
    </w:p>
    <w:p w14:paraId="0825F17A" w14:textId="433C477B" w:rsidR="008F3936" w:rsidRPr="00716469" w:rsidRDefault="002230B3" w:rsidP="00716469">
      <w:pPr>
        <w:ind w:left="720"/>
        <w:rPr>
          <w:b/>
          <w:bCs/>
        </w:rPr>
      </w:pPr>
      <w:r w:rsidRPr="002230B3">
        <w:rPr>
          <w:b/>
          <w:bCs/>
        </w:rPr>
        <w:t>Sheet 5:</w:t>
      </w:r>
    </w:p>
    <w:p w14:paraId="14AE91EE" w14:textId="398E8141" w:rsidR="001E2C5D" w:rsidRDefault="001E2C5D" w:rsidP="00716469">
      <w:pPr>
        <w:ind w:left="720"/>
      </w:pPr>
    </w:p>
    <w:sectPr w:rsidR="001E2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86327"/>
    <w:multiLevelType w:val="hybridMultilevel"/>
    <w:tmpl w:val="22AC90F4"/>
    <w:lvl w:ilvl="0" w:tplc="C78A70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1154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79"/>
    <w:rsid w:val="00091034"/>
    <w:rsid w:val="00136E4C"/>
    <w:rsid w:val="00175253"/>
    <w:rsid w:val="001E2C5D"/>
    <w:rsid w:val="00205182"/>
    <w:rsid w:val="002230B3"/>
    <w:rsid w:val="00243B9C"/>
    <w:rsid w:val="002F15CC"/>
    <w:rsid w:val="00301B79"/>
    <w:rsid w:val="004074C0"/>
    <w:rsid w:val="00443AB6"/>
    <w:rsid w:val="004B3B9D"/>
    <w:rsid w:val="004C0EA3"/>
    <w:rsid w:val="00533E1E"/>
    <w:rsid w:val="005A08EF"/>
    <w:rsid w:val="00625110"/>
    <w:rsid w:val="006A77F7"/>
    <w:rsid w:val="006B2290"/>
    <w:rsid w:val="00715977"/>
    <w:rsid w:val="00716469"/>
    <w:rsid w:val="00716736"/>
    <w:rsid w:val="007479D9"/>
    <w:rsid w:val="008F3936"/>
    <w:rsid w:val="00910ADB"/>
    <w:rsid w:val="00943C0C"/>
    <w:rsid w:val="009B1812"/>
    <w:rsid w:val="00A94582"/>
    <w:rsid w:val="00AC3DBB"/>
    <w:rsid w:val="00AE2E8E"/>
    <w:rsid w:val="00C72EA5"/>
    <w:rsid w:val="00D801A5"/>
    <w:rsid w:val="00DB3074"/>
    <w:rsid w:val="00E33CBC"/>
    <w:rsid w:val="00EC4C6D"/>
    <w:rsid w:val="00EC6878"/>
    <w:rsid w:val="00FC05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93F"/>
  <w15:chartTrackingRefBased/>
  <w15:docId w15:val="{09522351-404E-174B-B417-829D0CC8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07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C5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2C5D"/>
    <w:rPr>
      <w:b/>
      <w:bCs/>
    </w:rPr>
  </w:style>
  <w:style w:type="character" w:styleId="Hyperlink">
    <w:name w:val="Hyperlink"/>
    <w:basedOn w:val="DefaultParagraphFont"/>
    <w:uiPriority w:val="99"/>
    <w:unhideWhenUsed/>
    <w:rsid w:val="001E2C5D"/>
    <w:rPr>
      <w:color w:val="0000FF"/>
      <w:u w:val="single"/>
    </w:rPr>
  </w:style>
  <w:style w:type="character" w:styleId="UnresolvedMention">
    <w:name w:val="Unresolved Mention"/>
    <w:basedOn w:val="DefaultParagraphFont"/>
    <w:uiPriority w:val="99"/>
    <w:semiHidden/>
    <w:unhideWhenUsed/>
    <w:rsid w:val="00243B9C"/>
    <w:rPr>
      <w:color w:val="605E5C"/>
      <w:shd w:val="clear" w:color="auto" w:fill="E1DFDD"/>
    </w:rPr>
  </w:style>
  <w:style w:type="character" w:styleId="FollowedHyperlink">
    <w:name w:val="FollowedHyperlink"/>
    <w:basedOn w:val="DefaultParagraphFont"/>
    <w:uiPriority w:val="99"/>
    <w:semiHidden/>
    <w:unhideWhenUsed/>
    <w:rsid w:val="00243B9C"/>
    <w:rPr>
      <w:color w:val="954F72" w:themeColor="followedHyperlink"/>
      <w:u w:val="single"/>
    </w:rPr>
  </w:style>
  <w:style w:type="paragraph" w:styleId="ListParagraph">
    <w:name w:val="List Paragraph"/>
    <w:basedOn w:val="Normal"/>
    <w:uiPriority w:val="34"/>
    <w:qFormat/>
    <w:rsid w:val="008F3936"/>
    <w:pPr>
      <w:ind w:left="720"/>
      <w:contextualSpacing/>
    </w:pPr>
  </w:style>
  <w:style w:type="character" w:customStyle="1" w:styleId="Heading1Char">
    <w:name w:val="Heading 1 Char"/>
    <w:basedOn w:val="DefaultParagraphFont"/>
    <w:link w:val="Heading1"/>
    <w:uiPriority w:val="9"/>
    <w:rsid w:val="00DB3074"/>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7503">
      <w:bodyDiv w:val="1"/>
      <w:marLeft w:val="0"/>
      <w:marRight w:val="0"/>
      <w:marTop w:val="0"/>
      <w:marBottom w:val="0"/>
      <w:divBdr>
        <w:top w:val="none" w:sz="0" w:space="0" w:color="auto"/>
        <w:left w:val="none" w:sz="0" w:space="0" w:color="auto"/>
        <w:bottom w:val="none" w:sz="0" w:space="0" w:color="auto"/>
        <w:right w:val="none" w:sz="0" w:space="0" w:color="auto"/>
      </w:divBdr>
      <w:divsChild>
        <w:div w:id="303123825">
          <w:marLeft w:val="0"/>
          <w:marRight w:val="0"/>
          <w:marTop w:val="0"/>
          <w:marBottom w:val="0"/>
          <w:divBdr>
            <w:top w:val="none" w:sz="0" w:space="0" w:color="auto"/>
            <w:left w:val="none" w:sz="0" w:space="0" w:color="auto"/>
            <w:bottom w:val="none" w:sz="0" w:space="0" w:color="auto"/>
            <w:right w:val="none" w:sz="0" w:space="0" w:color="auto"/>
          </w:divBdr>
          <w:divsChild>
            <w:div w:id="1402829473">
              <w:marLeft w:val="0"/>
              <w:marRight w:val="0"/>
              <w:marTop w:val="0"/>
              <w:marBottom w:val="0"/>
              <w:divBdr>
                <w:top w:val="none" w:sz="0" w:space="0" w:color="auto"/>
                <w:left w:val="none" w:sz="0" w:space="0" w:color="auto"/>
                <w:bottom w:val="none" w:sz="0" w:space="0" w:color="auto"/>
                <w:right w:val="none" w:sz="0" w:space="0" w:color="auto"/>
              </w:divBdr>
              <w:divsChild>
                <w:div w:id="13014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8301">
      <w:bodyDiv w:val="1"/>
      <w:marLeft w:val="0"/>
      <w:marRight w:val="0"/>
      <w:marTop w:val="0"/>
      <w:marBottom w:val="0"/>
      <w:divBdr>
        <w:top w:val="none" w:sz="0" w:space="0" w:color="auto"/>
        <w:left w:val="none" w:sz="0" w:space="0" w:color="auto"/>
        <w:bottom w:val="none" w:sz="0" w:space="0" w:color="auto"/>
        <w:right w:val="none" w:sz="0" w:space="0" w:color="auto"/>
      </w:divBdr>
      <w:divsChild>
        <w:div w:id="706444527">
          <w:marLeft w:val="0"/>
          <w:marRight w:val="0"/>
          <w:marTop w:val="0"/>
          <w:marBottom w:val="0"/>
          <w:divBdr>
            <w:top w:val="none" w:sz="0" w:space="0" w:color="auto"/>
            <w:left w:val="none" w:sz="0" w:space="0" w:color="auto"/>
            <w:bottom w:val="none" w:sz="0" w:space="0" w:color="auto"/>
            <w:right w:val="none" w:sz="0" w:space="0" w:color="auto"/>
          </w:divBdr>
          <w:divsChild>
            <w:div w:id="14511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2402">
      <w:bodyDiv w:val="1"/>
      <w:marLeft w:val="0"/>
      <w:marRight w:val="0"/>
      <w:marTop w:val="0"/>
      <w:marBottom w:val="0"/>
      <w:divBdr>
        <w:top w:val="none" w:sz="0" w:space="0" w:color="auto"/>
        <w:left w:val="none" w:sz="0" w:space="0" w:color="auto"/>
        <w:bottom w:val="none" w:sz="0" w:space="0" w:color="auto"/>
        <w:right w:val="none" w:sz="0" w:space="0" w:color="auto"/>
      </w:divBdr>
    </w:div>
    <w:div w:id="1823810277">
      <w:bodyDiv w:val="1"/>
      <w:marLeft w:val="0"/>
      <w:marRight w:val="0"/>
      <w:marTop w:val="0"/>
      <w:marBottom w:val="0"/>
      <w:divBdr>
        <w:top w:val="none" w:sz="0" w:space="0" w:color="auto"/>
        <w:left w:val="none" w:sz="0" w:space="0" w:color="auto"/>
        <w:bottom w:val="none" w:sz="0" w:space="0" w:color="auto"/>
        <w:right w:val="none" w:sz="0" w:space="0" w:color="auto"/>
      </w:divBdr>
      <w:divsChild>
        <w:div w:id="777336465">
          <w:marLeft w:val="0"/>
          <w:marRight w:val="0"/>
          <w:marTop w:val="0"/>
          <w:marBottom w:val="0"/>
          <w:divBdr>
            <w:top w:val="none" w:sz="0" w:space="0" w:color="auto"/>
            <w:left w:val="none" w:sz="0" w:space="0" w:color="auto"/>
            <w:bottom w:val="none" w:sz="0" w:space="0" w:color="auto"/>
            <w:right w:val="none" w:sz="0" w:space="0" w:color="auto"/>
          </w:divBdr>
          <w:divsChild>
            <w:div w:id="1466897087">
              <w:marLeft w:val="0"/>
              <w:marRight w:val="0"/>
              <w:marTop w:val="0"/>
              <w:marBottom w:val="0"/>
              <w:divBdr>
                <w:top w:val="none" w:sz="0" w:space="0" w:color="auto"/>
                <w:left w:val="none" w:sz="0" w:space="0" w:color="auto"/>
                <w:bottom w:val="none" w:sz="0" w:space="0" w:color="auto"/>
                <w:right w:val="none" w:sz="0" w:space="0" w:color="auto"/>
              </w:divBdr>
              <w:divsChild>
                <w:div w:id="14092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6216">
      <w:bodyDiv w:val="1"/>
      <w:marLeft w:val="0"/>
      <w:marRight w:val="0"/>
      <w:marTop w:val="0"/>
      <w:marBottom w:val="0"/>
      <w:divBdr>
        <w:top w:val="none" w:sz="0" w:space="0" w:color="auto"/>
        <w:left w:val="none" w:sz="0" w:space="0" w:color="auto"/>
        <w:bottom w:val="none" w:sz="0" w:space="0" w:color="auto"/>
        <w:right w:val="none" w:sz="0" w:space="0" w:color="auto"/>
      </w:divBdr>
    </w:div>
    <w:div w:id="20470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naomirobbins/2012/01/19/when-should-i-use-logarithmic-scales-in-my-charts-and-graphs/?sh=199c5fe65e67" TargetMode="External"/><Relationship Id="rId3" Type="http://schemas.openxmlformats.org/officeDocument/2006/relationships/settings" Target="settings.xml"/><Relationship Id="rId7" Type="http://schemas.openxmlformats.org/officeDocument/2006/relationships/hyperlink" Target="https://btprovider.com/how-to-create-a-parallel-coordinates-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akashshakya/iea-ev-dataset-202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Bonso</dc:creator>
  <cp:keywords/>
  <dc:description/>
  <cp:lastModifiedBy>Luke Bonso</cp:lastModifiedBy>
  <cp:revision>8</cp:revision>
  <cp:lastPrinted>2023-09-03T05:10:00Z</cp:lastPrinted>
  <dcterms:created xsi:type="dcterms:W3CDTF">2023-10-11T09:25:00Z</dcterms:created>
  <dcterms:modified xsi:type="dcterms:W3CDTF">2023-10-14T11:00:00Z</dcterms:modified>
</cp:coreProperties>
</file>