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8242C"/>
          <w:sz w:val="36"/>
          <w:szCs w:val="36"/>
        </w:rPr>
        <w:t xml:space="preserve">Fiches Produit — L'Étudiant × Alberthon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Hackathon 2026 — Sujet 3 : Monétisation B2B — v2 du 28/04/2026</w:t>
      </w:r>
    </w:p>
    <w:p>
      <w:pPr>
        <w:shd w:fill="E8242C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PRODUIT 1 — Baromètre des Intentions d'Orientation</w:t>
      </w:r>
    </w:p>
    <w:p>
      <w:pPr>
        <w:shd w:fill="E8242C" w:val="clear"/>
        <w:spacing w:after="20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SaaS data — Tendances d'orientation en temps réel pour les établissements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FICHE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cible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Directeurs marketing et admissions d'établissements post-bac : BTS, IUT, écoles de commerce, écoles d'ingénieurs, universités, prépas. Budget marketing recrutement : 50 k€–500 k€/an.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 adressé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établissements manquent de visibilité sur l'évolution des intentions d'orientation de leur bassin de recrutement. Ils s'appuient sur des données décalées (Parcoursup N-1, études sectorielles annuelles).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produit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Tableau de bord SaaS connecté aux données temps-réel de L'Étudiant. L'établissement accède à un Baromètre filtrable par région, filière, niveau scolaire et profil CSP — actualisé mensuellement. Inclut les signaux d'intention déclarés (conversations agent IA), comportementaux (engagement email) et physiques (présence salons).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INPUTS &amp;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Sources de données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Site_Inscrits (4M contacts) · Agent_Conversationnel_ORI (56 605 conversations) · CRM_Communication (249M events) · Salons_Inscrits_et_venus (3,5M entrées) · dimensions domaine/niveau/profil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Filtre RGPD amont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Exclusion stricte des inscrits clairement mineurs (study_level ∈ {4ème, 5ème, 6ème}) appliquée dans la requête BigQuery. Cf. Note de conformité RGPD §6.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Transformations clés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Agrégation mensuelle Région × Domaine × Niveau · 2. Enrichissement CSP probabiliste par commune INSEE (somme des probabilités) · 3. Calcul taux engagement email par segment · 4. Extraction intentions salon (study_field_interests) · 5. Classification leads A/B/C selon score 3 dimensions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Modèle dbt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mart_intentions_monthly — table mart construite par le pipeline pipeline_lead_scoring.py et alimentant directement barometer_data.json (consommé par barometer_dashboard.html).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activable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Table agrégée : nb_intentions × région × filière × niveau × mois × csp_segment — exportable CSV / API JSON / connecteur PowerBI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Mise à jour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Actualisation mensuelle automatique via pipeline BigQuery scheduled (Airflow / Cloud Composer)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LOGIQUE DE PRICING &amp; PROFIL DE MARGE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Modèle : abonnement annuel SaaS avec accès multi-utilisateurs. Pricing basé sur la taille de l'établissement (nb de candidats/an cibles).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1840"/>
        <w:gridCol w:w="1840"/>
      </w:tblGrid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Cible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Marge brute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Starter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Établissements &lt; 500 candidats/an (BTS, IUT locaux)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6 000 €/an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~80%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Growth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Établissements 500–2 000 candidats/an (BBA, mastères)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14 000 €/an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~85%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Premium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Grandes écoles &amp; universités &gt; 2 000 candidats/an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28 000 €/an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~88%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Multi-site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Groupes multi-établissements + accès API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 devis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~75%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Hypothèse de conversion (BP cohérent)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5%</w:t>
      </w:r>
      <w:r>
        <w:rPr>
          <w:rFonts w:ascii="Arial" w:cs="Arial" w:eastAsia="Arial" w:hAnsi="Arial"/>
          <w:sz w:val="22"/>
          <w:szCs w:val="22"/>
        </w:rPr>
        <w:t xml:space="preserve"> An 1,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8%</w:t>
      </w:r>
      <w:r>
        <w:rPr>
          <w:rFonts w:ascii="Arial" w:cs="Arial" w:eastAsia="Arial" w:hAnsi="Arial"/>
          <w:sz w:val="22"/>
          <w:szCs w:val="22"/>
        </w:rPr>
        <w:t xml:space="preserve"> An 2,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10%</w:t>
      </w:r>
      <w:r>
        <w:rPr>
          <w:rFonts w:ascii="Arial" w:cs="Arial" w:eastAsia="Arial" w:hAnsi="Arial"/>
          <w:sz w:val="22"/>
          <w:szCs w:val="22"/>
        </w:rPr>
        <w:t xml:space="preserve"> An 3 (benchmark SaaSr 2024 EdTech B2B). Churn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15% / 12% / 10%</w:t>
      </w:r>
      <w:r>
        <w:rPr>
          <w:rFonts w:ascii="Arial" w:cs="Arial" w:eastAsia="Arial" w:hAnsi="Arial"/>
          <w:sz w:val="22"/>
          <w:szCs w:val="22"/>
        </w:rPr>
        <w:t xml:space="preserve"> — appliqué linéairement (1 - churn/2) sur les revenus.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1840"/>
        <w:gridCol w:w="1840"/>
      </w:tblGrid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 cible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/ Calcul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ARPA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~10 800 €/an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0,6×6k + 0,3×14k + 0,1×28k (mix Starter/Growth/Premium An 1)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Marge brute par client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~8 700 €/an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~80% × ARPA An 1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 cible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~5 000 €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Coût sales chargé 60 k€ ÷ ~12 deals/sales/an (cycle 4-6 mois)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Payback CAC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~7 mois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 / Marge brute mensuelle = 5k / 720€/mois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LTV (1/churn × marge)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~58 000 €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Marge brute × (1/15%) × persistance moyenne 3 ans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LTV / CAC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~11×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 sain SaaS B2B (&gt;3× considéré viable, &gt;5× excellent)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INSIGHT CLÉ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Terminales de L'Étudiant ouvrent leurs emails à 47,1% — soit 2× la moyenne marché (22%). Commerce/vente reste la filière n°1 avec 720k inscrits déclarés. 608k inscrits sont explicitement indécis : c'est le marché cible idéal pour les établissements souhaitant capter des candidats encore en recherche d'orientation.</w:t>
            </w:r>
          </w:p>
        </w:tc>
      </w:tr>
    </w:tbl>
    <w:p>
      <w:r>
        <w:br w:type="page"/>
      </w:r>
    </w:p>
    <w:p>
      <w:pPr>
        <w:shd w:fill="E8242C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PRODUIT 2 — Leads Qualifiés Intent-Based</w:t>
      </w:r>
    </w:p>
    <w:p>
      <w:pPr>
        <w:shd w:fill="E8242C" w:val="clear"/>
        <w:spacing w:after="20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Data product — Flux de leads étudiants scorés A/B/C pour les écoles partenaires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FICHE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cible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Responsables admissions et marketing de recrutement : écoles post-bac, formations alternance, BTS, prépas, écoles spécialisées. Budget acquisition leads : 15 k€–40 k€/an.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 adressé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établissements achètent des leads froids à des agrégateurs génériques avec des taux de conversion &lt; 3%. Ils n'ont pas accès à des signaux d'intention réels et récents propres à leur domaine cible.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produit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Flux mensuel de leads étudiants qualifiés, filtrés par domaine d'intérêt et niveau scolaire, enrichis d'un score d'intention 0-100 sur 3 dimensions : fraîcheur, clarté de l'intention déclarée, engagement comportemental (emails + salons + agent IA). Uniquement des contacts ayant consenti (optin commercial RGPD).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INPUTS, TRANSFORMATIONS &amp;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Sources de données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Site_Inscrits · CRM_Communication (opened/clicked) · Salons_Inscrits_et_venus (Showed_up) · Agent_Conversationnel_ORI (nb_conversations) · Optins RGPD (optin_commercial_actuel)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Filtre RGPD amont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Exclusion stricte des inscrits clairement mineurs (study_level ∈ {4ème, 5ème, 6ème}) avant scoring. Vue commerciale = optin_commercial_actuel = TRUE uniquement.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1 — Fraîcheur (30 pts)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Inscription &lt; 90j : +20 · 90-270j : +15 · 270-540j : +10 · 540-900j : +5 · Statut Toujours inscrit : +10. Recalibrage v2 : seuils plus stricts qu'en v1 pour redonner du pouvoir discriminant à cette dimension.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2 — Clarté intention (40 pts)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Domaine d'étude déclaré et précis : +15 · Niveau scolaire renseigné : +10 · A utilisé l'agent IA : +10 · Est venu physiquement au salon : +5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 3 — Engagement (30 pts)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Emails ouverts &gt; 5 : +10 (ou &gt; 0 : +5) · Emails cliqués &gt; 2 : +10 (ou &gt; 0 : +5) · Salons fréquentés ≥ 2 : +10 (ou = 1 : +5)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 output (v2)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 ≥ 55 : Lead A (chaud) · 30-54 : Lead B (tiède) · &lt; 30 : Lead C (froid). Distribution observée échantillon : 92,8% A / 7,2% B / 0% C (scoring v1 ; à recalibrer si nécessaire).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&amp; tables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pipeline_lead_scoring.py génère 2 tables : lead_scores_full (vue interne, toutes colonnes) · lead_scores_output (filtré optin=TRUE par l'école partenaire).</w:t>
            </w:r>
          </w:p>
        </w:tc>
      </w:tr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Livraison</w:t>
            </w:r>
          </w:p>
        </w:tc>
        <w:tc>
          <w:tcPr>
            <w:tcW w:type="dxa" w:w="6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CSV mensuel sécurisé / API push CRM (Salesforce, HubSpot) sur demande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LOGIQUE DE PRICING &amp; PROFIL DE MARGE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Modèle : CPL (Cost Per Lead) par tier de qualité. L'établissement ne paie que les leads correspondant à ses critères de ciblage.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1840"/>
        <w:gridCol w:w="1840"/>
      </w:tblGrid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Cible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Marge brute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A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Chaud · score ≥ 70 · intention claire + fort engagement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25-40 €/lead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~75%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B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Tiède · score 45-69 · à nurturer via séquence email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8-15 €/lead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~80%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C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Froid · score &lt; 45 · campagnes de notoriété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2-4 €/lead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~85%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Pack annuel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Volume garanti 500+ leads A/mois + accès dashboard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Forfait -20%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~70%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Taux de conversion benchmark leads A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6-9%</w:t>
      </w:r>
      <w:r>
        <w:rPr>
          <w:rFonts w:ascii="Arial" w:cs="Arial" w:eastAsia="Arial" w:hAnsi="Arial"/>
          <w:sz w:val="22"/>
          <w:szCs w:val="22"/>
        </w:rPr>
        <w:t xml:space="preserve"> vs 2-3% pour leads génériques. Valeur perçue établissement : 1 étudiant converti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5-25 k€</w:t>
      </w:r>
      <w:r>
        <w:rPr>
          <w:rFonts w:ascii="Arial" w:cs="Arial" w:eastAsia="Arial" w:hAnsi="Arial"/>
          <w:sz w:val="22"/>
          <w:szCs w:val="22"/>
        </w:rPr>
        <w:t xml:space="preserve"> de frais de scolarité.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Contrainte volume : taux optin commercial ~36% de la base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~80 k leads A optin/an</w:t>
      </w:r>
      <w:r>
        <w:rPr>
          <w:rFonts w:ascii="Arial" w:cs="Arial" w:eastAsia="Arial" w:hAnsi="Arial"/>
          <w:sz w:val="22"/>
          <w:szCs w:val="22"/>
        </w:rPr>
        <w:t xml:space="preserve"> sur la base 4M inscrits (potentiel théorique 2,5 M€/an au prix médian 32€). BP volontairement conservateur (300 k€ An 1).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1840"/>
        <w:gridCol w:w="1840"/>
      </w:tblGrid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 cible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/ Calcul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ARPA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~15 000 €/an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Spend moyen client An 1 (BP)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Marge brute / client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~12 000 €/an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Marge brute pondérée 80% × ARPA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 cible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~3 000 €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 k€ sales chargé ÷ 20 deals/sales/an (cycle 2-3 mois)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Payback CAC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 mois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 / marge brute mensuelle = 3k / 1k €/mois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LTV (1/churn × marge)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~50 000 €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Marge × (1/20% churn) × persistance moyenne ; durée vie 4-5 ans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LTV / CAC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~17×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Ratio très favorable (CPL élevé + churn maîtrisé)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BUILD VS PARTNER — DECISION FRAMEWORK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Synthèse — détails et chiffrage 3 ans dans l'onglet Build_vs_Partner du business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1840"/>
        <w:gridCol w:w="1840"/>
      </w:tblGrid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Coût total 3 ans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pondéré matrice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824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(in-house)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1 055 k€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4,05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Recommandé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PARTNER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225 k€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3,30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 B</w:t>
            </w:r>
          </w:p>
        </w:tc>
      </w:tr>
      <w:tr>
        <w:tc>
          <w:tcPr>
            <w:tcW w:type="dxa" w:w="2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HYBRIDE</w:t>
            </w:r>
          </w:p>
        </w:tc>
        <w:tc>
          <w:tcPr>
            <w:tcW w:type="dxa" w:w="33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1 275 k€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3,80</w:t>
            </w:r>
          </w:p>
        </w:tc>
        <w:tc>
          <w:tcPr>
            <w:tcW w:type="dxa" w:w="184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Repli An 2-3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Recommandation : </w:t>
      </w:r>
      <w:r>
        <w:rPr>
          <w:rFonts w:ascii="Arial" w:cs="Arial" w:eastAsia="Arial" w:hAnsi="Arial"/>
          <w:sz w:val="22"/>
          <w:szCs w:val="22"/>
        </w:rPr>
        <w:t xml:space="preserve">BUILD prioritaire sur les 3 dimensions du scoring — données propriétaires L'Étudiant. Le score pondéré favorise BUILD sur 4 critères clés (avantage concurrentiel, RGPD, coût marginal post-pipeline, contrôle). PARTNER d'enrichissement (Bombora/ZoomInfo) déclenché en An 2 uniquement si volume A &lt; 60% objectif ou si écoles demandent des signaux off-platform.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824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2026-04-28T19:03:15.542Z</dcterms:created>
  <dcterms:modified xsi:type="dcterms:W3CDTF">2026-04-28T19:03:15.543Z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