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242C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Produit 1 - Barometre des Intentions d'Orientation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SaaS data . Tendances d'orientation en temps reel pour les etablissements</w:t>
            </w:r>
          </w:p>
        </w:tc>
      </w:tr>
    </w:tbl>
    <w:p>
      <w:pPr>
        <w:spacing w:after="0" w:before="2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242C"/>
                <w:sz w:val="20"/>
                <w:szCs w:val="20"/>
              </w:rPr>
              <w:t xml:space="preserve">FICHE PRODUIT</w:t>
            </w:r>
          </w:p>
        </w:tc>
      </w:tr>
    </w:tbl>
    <w:p>
      <w:pPr>
        <w:spacing w:after="0" w:before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Client cible</w:t>
            </w:r>
          </w:p>
        </w:tc>
        <w:tc>
          <w:tcPr>
            <w:tcW w:type="dxa" w:w="6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Directeurs marketing et admissions d'etablissements post-bac : BTS, IUT, ecoles de commerce, ecoles d'ingenieurs, universites, prepas. Budget marketing recrutement : 50k-500k/an.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Probleme adresse</w:t>
            </w:r>
          </w:p>
        </w:tc>
        <w:tc>
          <w:tcPr>
            <w:tcW w:type="dxa" w:w="6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Les etablissements manquent de visibilite sur l'evolution des intentions d'orientation de leur bassin de recrutement. Ils s'appuient sur des donnees decalees (Parcoursup N-1, etudes sectorielles annuelles).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 produit</w:t>
            </w:r>
          </w:p>
        </w:tc>
        <w:tc>
          <w:tcPr>
            <w:tcW w:type="dxa" w:w="6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Tableau de bord SaaS connecte aux donnees temps-reel de L'Etudiant. L'etablissement accede a un Barometre filtrable par region, filiere, niveau scolaire et profil CSP - actualise mensuellement. Inclut les signaux d'intention declares (conversations agent IA), comportementaux (engagement email) et physiques (presence salons).</w:t>
            </w:r>
          </w:p>
        </w:tc>
      </w:tr>
    </w:tbl>
    <w:p>
      <w:pP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242C"/>
                <w:sz w:val="20"/>
                <w:szCs w:val="20"/>
              </w:rPr>
              <w:t xml:space="preserve">INPUTS &amp; TRANSFORMATIONS</w:t>
            </w:r>
          </w:p>
        </w:tc>
      </w:tr>
    </w:tbl>
    <w:p>
      <w:pPr>
        <w:spacing w:after="0" w:before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Sources de donnees</w:t>
            </w:r>
          </w:p>
        </w:tc>
        <w:tc>
          <w:tcPr>
            <w:tcW w:type="dxa" w:w="6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Site_Inscrits (4M contacts) . Agent_Conversationnel_ORI (56 605 conversations) . CRM_Communication (249M events) . Salons_Inscrits_et_venus (3,5M entrees) . Dimensions domaine/niveau/profil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Transformations cles</w:t>
            </w:r>
          </w:p>
        </w:tc>
        <w:tc>
          <w:tcPr>
            <w:tcW w:type="dxa" w:w="6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Agregation mensuelle par Region x Domaine x Niveau . 2. Enrichissement CSP probabiliste par commune INSEE . 3. Calcul taux engagement email par segment . 4. Extraction intentions salon (study_field_interests) . 5. Scoring fraicheur inscrits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Output activable</w:t>
            </w:r>
          </w:p>
        </w:tc>
        <w:tc>
          <w:tcPr>
            <w:tcW w:type="dxa" w:w="6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Table agreee : nb_intentions x region x filiere x niveau x mois x csp_segment - exportable CSV / API JSON / connecteur PowerBI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Mise a jour</w:t>
            </w:r>
          </w:p>
        </w:tc>
        <w:tc>
          <w:tcPr>
            <w:tcW w:type="dxa" w:w="6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Actualisation mensuelle automatique via pipeline BigQuery schedule (ce pipeline)</w:t>
            </w:r>
          </w:p>
        </w:tc>
      </w:tr>
    </w:tbl>
    <w:p>
      <w:pP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242C"/>
                <w:sz w:val="20"/>
                <w:szCs w:val="20"/>
              </w:rPr>
              <w:t xml:space="preserve">LOGIQUE DE PRICING &amp; PROFIL DE MARGE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Modele : abonnement annuel SaaS avec acces multi-utilisateurs. Pricing base sur la taille de l'etablissement (nb de candidats/an cibles).</w:t>
      </w:r>
    </w:p>
    <w:p>
      <w:pPr>
        <w:spacing w:after="0" w:before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6"/>
        <w:gridCol w:w="2200"/>
        <w:gridCol w:w="20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Cible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Marge brute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Starter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Etablissements &lt; 500 candidats/an (BTS, IUT locaux)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6 000 EUR/an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~72%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Etablissements 500-2 000 candidats/an (ecoles de commerce)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14 000 EUR/an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~74%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Premium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Grandes ecoles &amp; universites &gt; 2 000 candidats/an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28 000 EUR/an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~76%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Multi-site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Groupes multi-etablissements + acces API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Sur devis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~70%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Hypothese de conversion : 8% des etablissements contactes signent en annee 1 (benchmark SaaS EdTech B2B). Upsell attendu en annee 2 : +35% via modules add-on (filtres geo avances, export API).</w:t>
      </w:r>
    </w:p>
    <w:p>
      <w:pP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242C"/>
                <w:sz w:val="20"/>
                <w:szCs w:val="20"/>
              </w:rPr>
              <w:t xml:space="preserve">INSIGHT CLE</w:t>
            </w:r>
          </w:p>
        </w:tc>
      </w:tr>
    </w:tbl>
    <w:p>
      <w:pPr>
        <w:spacing w:after="0" w:before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E8242C" w:sz="6"/>
              <w:left w:val="none" w:color="FFFFFF" w:sz="0"/>
              <w:bottom w:val="single" w:color="e5e7eb" w:sz="1"/>
              <w:right w:val="none" w:color="FFFFFF" w:sz="0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Les Terminales de L'Etudiant ouvrent leurs emails a 47,1% - soit 2x la moyenne marche (22%). Commerce/vente reste la filiere n1 avec 720k inscrits declares. 608k inscrits sont explicitement indecis : c'est le marche cible ideal pour les etablissements souhaitant capter des candidats encore en recherche d'orientation.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Produit 2 - Leads Qualifies Intent-Based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Data product . Flux de leads etudiants scores A/B/C pour les ecoles partenaires</w:t>
            </w:r>
          </w:p>
        </w:tc>
      </w:tr>
    </w:tbl>
    <w:p>
      <w:pPr>
        <w:spacing w:after="0" w:before="2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242C"/>
                <w:sz w:val="20"/>
                <w:szCs w:val="20"/>
              </w:rPr>
              <w:t xml:space="preserve">FICHE PRODUIT</w:t>
            </w:r>
          </w:p>
        </w:tc>
      </w:tr>
    </w:tbl>
    <w:p>
      <w:pPr>
        <w:spacing w:after="0" w:before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Client cible</w:t>
            </w:r>
          </w:p>
        </w:tc>
        <w:tc>
          <w:tcPr>
            <w:tcW w:type="dxa" w:w="6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Responsables admissions et marketing de recrutement : ecoles post-bac, formations alternance, BTS, prepas, ecoles specialisees. Budget acquisition leads : 20k-80k EUR/an.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Probleme adresse</w:t>
            </w:r>
          </w:p>
        </w:tc>
        <w:tc>
          <w:tcPr>
            <w:tcW w:type="dxa" w:w="6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Les etablissements achetent des leads froids a des agregateurs generiques avec des taux de conversion &lt; 3%. Ils n'ont pas acces a des signaux d'intention reels et recents propres a leur domaine cible.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Description produit</w:t>
            </w:r>
          </w:p>
        </w:tc>
        <w:tc>
          <w:tcPr>
            <w:tcW w:type="dxa" w:w="6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Flux mensuel de leads etudiants qualifies, filtres par domaine d'interet et niveau scolaire, enrichis d'un score d'intention 0-100 sur 3 dimensions : fraicheur, clarte de l'intention declaree, engagement comportemental (emails + salons + agent IA). Uniquement des contacts ayant consenti (optin commercial RGPD).</w:t>
            </w:r>
          </w:p>
        </w:tc>
      </w:tr>
    </w:tbl>
    <w:p>
      <w:pP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242C"/>
                <w:sz w:val="20"/>
                <w:szCs w:val="20"/>
              </w:rPr>
              <w:t xml:space="preserve">INPUTS, TRANSFORMATIONS &amp; SCORING</w:t>
            </w:r>
          </w:p>
        </w:tc>
      </w:tr>
    </w:tbl>
    <w:p>
      <w:pPr>
        <w:spacing w:after="0" w:before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Sources de donnees</w:t>
            </w:r>
          </w:p>
        </w:tc>
        <w:tc>
          <w:tcPr>
            <w:tcW w:type="dxa" w:w="6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Site_Inscrits . CRM_Communication (opened/clicked) . Salons_Inscrits_et_venus (Showed_up) . Agent_Conversationnel_ORI (nb_conversations) . Optins RGPD (optin_commercial_actuel)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Dimension 1 - Fraicheur (30 pts)</w:t>
            </w:r>
          </w:p>
        </w:tc>
        <w:tc>
          <w:tcPr>
            <w:tcW w:type="dxa" w:w="6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Inscription &lt; 6 mois : +15 pts . Statut ACTIF/Toujours inscrit : +15 pts. Un lead frais convertit 3x mieux.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Dimension 2 - Clarte intention (40 pts)</w:t>
            </w:r>
          </w:p>
        </w:tc>
        <w:tc>
          <w:tcPr>
            <w:tcW w:type="dxa" w:w="6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Domaine d'etude declare et precis : +15 pts . Niveau scolaire renseigne : +10 pts . A utilise l'agent orientation IA : +10 pts . Est venu physiquement au salon : +5 pts.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Dimension 3 - Engagement (30 pts)</w:t>
            </w:r>
          </w:p>
        </w:tc>
        <w:tc>
          <w:tcPr>
            <w:tcW w:type="dxa" w:w="6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Emails ouverts &gt; 5 : +10 pts . Emails cliques &gt; 2 : +10 pts . Salons frequentes &gt;= 2 : +10 pts. Signaux comportementaux reels, pas declaratifs.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Classification output</w:t>
            </w:r>
          </w:p>
        </w:tc>
        <w:tc>
          <w:tcPr>
            <w:tcW w:type="dxa" w:w="6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Score &gt;= 55 pts : Lead A (chaud) . Score 30-54 pts : Lead B (tiede) . Score &lt; 30 pts : Lead C (froid)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Table de sortie</w:t>
            </w:r>
          </w:p>
        </w:tc>
        <w:tc>
          <w:tcPr>
            <w:tcW w:type="dxa" w:w="6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lead_scores_output : id_inscrit . lead_class . score_total . domaine . niveau . region . optin - livraison CSV mensuelle ou API push CRM</w:t>
            </w:r>
          </w:p>
        </w:tc>
      </w:tr>
    </w:tbl>
    <w:p>
      <w:pP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242C"/>
                <w:sz w:val="20"/>
                <w:szCs w:val="20"/>
              </w:rPr>
              <w:t xml:space="preserve">LOGIQUE DE PRICING &amp; PROFIL DE MARGE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Modele : CPL (Cost Per Lead) par tier de qualite. L'etablissement ne paie que les leads correspondant a ses criteres de ciblage.</w:t>
      </w:r>
    </w:p>
    <w:p>
      <w:pPr>
        <w:spacing w:after="0" w:before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6"/>
        <w:gridCol w:w="2200"/>
        <w:gridCol w:w="20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Cible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Marge brute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Lead A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Chaud . score &gt;= 55 . intention claire + fort engagement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25-40 EUR/lead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~68%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Lead B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Tiede . score 30-54 . a nurturer via sequence email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8-15 EUR/lead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~72%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Lead C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Froid . score &lt; 30 . campagnes de notoriete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2-4 EUR/lead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~75%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Pack annuel</w:t>
            </w:r>
          </w:p>
        </w:tc>
        <w:tc>
          <w:tcPr>
            <w:tcW w:type="dxa" w:w="39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Volume garanti 500+ leads A/mois + acces dashboard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Forfait -20%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~65%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Taux de conversion benchmark leads A : estime 6-9% vs 2-3% pour leads generiques. Valeur percue etablissement : 1 etudiant converti = 5-25k EUR de frais de scolarite.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Contrainte : volume leads A limite par taux optin commercial actuel (~30% de la base). Levier : campagne de reoptin via marketing automation sur les segments B/C.</w:t>
      </w:r>
    </w:p>
    <w:p>
      <w:pP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242C"/>
                <w:sz w:val="20"/>
                <w:szCs w:val="20"/>
              </w:rPr>
              <w:t xml:space="preserve">BUILD VS PARTNER - DECISION FRAMEWORK</w:t>
            </w:r>
          </w:p>
        </w:tc>
      </w:tr>
    </w:tbl>
    <w:p>
      <w:pPr>
        <w:spacing w:after="0" w:before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(in-house)</w:t>
            </w:r>
          </w:p>
        </w:tc>
        <w:tc>
          <w:tcPr>
            <w:tcW w:type="dxa" w:w="4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 (data enrichment)</w:t>
            </w:r>
          </w:p>
        </w:tc>
      </w:tr>
      <w:tr>
        <w:tc>
          <w:tcPr>
            <w:tcW w:type="dxa" w:w="4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+ Score sur donnees proprietaires exclusives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+ Avantage concurrentiel defendable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+ Cout marginal faible post-pipeline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+ Controle RGPD total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8242C"/>
                <w:sz w:val="17"/>
                <w:szCs w:val="17"/>
              </w:rPr>
              <w:t xml:space="preserve">- Ne capte pas signaux off-platform</w:t>
            </w:r>
          </w:p>
        </w:tc>
        <w:tc>
          <w:tcPr>
            <w:tcW w:type="dxa" w:w="495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+ Enrichit signaux faibles (LinkedIn, web)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+ Time-to-market rapide sur dimensions manquantes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8242C"/>
                <w:sz w:val="17"/>
                <w:szCs w:val="17"/>
              </w:rPr>
              <w:t xml:space="preserve">- Cout recurrent (0,05-0,30 EUR/contact)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8242C"/>
                <w:sz w:val="17"/>
                <w:szCs w:val="17"/>
              </w:rPr>
              <w:t xml:space="preserve">- Dependance fournisseur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8242C"/>
                <w:sz w:val="17"/>
                <w:szCs w:val="17"/>
              </w:rPr>
              <w:t xml:space="preserve">- Complexite RGPD (DPA requis)</w:t>
            </w:r>
          </w:p>
        </w:tc>
      </w:tr>
      <w:tr>
        <w:tc>
          <w:tcPr>
            <w:tcW w:type="dxa" w:w="9906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Recommandation : BUILD sur les 3 dimensions du scoring (donnees proprietaires L'Etudiant). PARTNER uniquement pour enrichir la dimension intention sur leads C via Teads/Bombora si volume A/B insuffisant en annee 2.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2026-04-28T09:13:42.836Z</dcterms:created>
  <dcterms:modified xsi:type="dcterms:W3CDTF">2026-04-28T09:13:42.836Z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