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E8242C" w:val="clear"/>
            <w:tcMar>
              <w:top w:type="dxa" w:w="320"/>
              <w:left w:type="dxa" w:w="400"/>
              <w:bottom w:type="dxa" w:w="320"/>
              <w:right w:type="dxa" w:w="400"/>
            </w:tcMar>
          </w:tcPr>
          <w:p>
            <w:r>
              <w:rPr>
                <w:rFonts w:ascii="Arial" w:cs="Arial" w:eastAsia="Arial" w:hAnsi="Arial"/>
                <w:b/>
                <w:bCs/>
                <w:color w:val="FFFFFF"/>
                <w:sz w:val="40"/>
                <w:szCs w:val="40"/>
              </w:rPr>
              <w:t xml:space="preserve">Note de Conformite RGPD</w:t>
            </w:r>
          </w:p>
          <w:p>
            <w:pPr>
              <w:spacing w:before="80"/>
            </w:pPr>
            <w:r>
              <w:rPr>
                <w:rFonts w:ascii="Arial" w:cs="Arial" w:eastAsia="Arial" w:hAnsi="Arial"/>
                <w:color w:val="FFCCCC"/>
                <w:sz w:val="20"/>
                <w:szCs w:val="20"/>
              </w:rPr>
              <w:t xml:space="preserve">Pipeline Lead Scoring &amp; Barometre des Intentions - L'Etudiant x Alberthon</w:t>
            </w:r>
          </w:p>
        </w:tc>
      </w:tr>
    </w:tbl>
    <w:p>
      <w:pPr>
        <w:spacing w:after="0" w:before="2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2563EB" w:sz="6"/>
              <w:left w:val="none" w:color="FFFFFF" w:sz="0"/>
              <w:bottom w:val="single" w:color="E5E7EB" w:sz="1"/>
              <w:right w:val="none" w:color="FFFFFF" w:sz="0"/>
            </w:tcBorders>
            <w:shd w:fill="EFF6FF" w:val="clear"/>
            <w:tcMar>
              <w:top w:type="dxa" w:w="140"/>
              <w:left w:type="dxa" w:w="200"/>
              <w:bottom w:type="dxa" w:w="140"/>
              <w:right w:type="dxa" w:w="200"/>
            </w:tcMar>
          </w:tcPr>
          <w:p>
            <w:r>
              <w:rPr>
                <w:rFonts w:ascii="Arial" w:cs="Arial" w:eastAsia="Arial" w:hAnsi="Arial"/>
                <w:color w:val="1A1A2E"/>
                <w:sz w:val="18"/>
                <w:szCs w:val="18"/>
              </w:rPr>
              <w:t xml:space="preserve">Cette note accompagne le pipeline de donnees pipeline_lead_scoring.py et le dashboard Barometre. Elle est etablie conformement au Reglement (UE) 2016/679 (RGPD) et a la loi Informatique et Libertes modifiee. Redacteur : equipe Alberthon - Hackathon L'Etudiant 2026. Date : 28 avril 2026.</w:t>
            </w:r>
          </w:p>
        </w:tc>
      </w:tr>
    </w:tbl>
    <w:p>
      <w:pP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0"/>
                <w:szCs w:val="20"/>
              </w:rPr>
              <w:t xml:space="preserve">1.  RESPONSABLE DE TRAITEMENT</w:t>
            </w:r>
          </w:p>
        </w:tc>
      </w:tr>
    </w:tbl>
    <w:p>
      <w:pPr>
        <w:spacing w:after="0" w:before="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106"/>
      </w:tblGrid>
      <w:tr>
        <w:tc>
          <w:tcPr>
            <w:tcW w:type="dxa" w:w="32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Donnee traitee</w:t>
            </w:r>
          </w:p>
        </w:tc>
        <w:tc>
          <w:tcPr>
            <w:tcW w:type="dxa" w:w="36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Finalite</w:t>
            </w:r>
          </w:p>
        </w:tc>
        <w:tc>
          <w:tcPr>
            <w:tcW w:type="dxa" w:w="3106"/>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Base legale</w:t>
            </w:r>
          </w:p>
        </w:tc>
      </w:tr>
      <w:tr>
        <w:tc>
          <w:tcPr>
            <w:tcW w:type="dxa" w:w="32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Responsable de traitement</w:t>
            </w:r>
          </w:p>
        </w:tc>
        <w:tc>
          <w:tcPr>
            <w:tcW w:type="dxa" w:w="36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L'Etudiant (Groupe Bayard Presse)</w:t>
            </w:r>
          </w:p>
        </w:tc>
        <w:tc>
          <w:tcPr>
            <w:tcW w:type="dxa" w:w="3106"/>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28 rue Armand Carrel, 93108 Montreuil</w:t>
            </w:r>
          </w:p>
        </w:tc>
      </w:tr>
      <w:tr>
        <w:tc>
          <w:tcPr>
            <w:tcW w:type="dxa" w:w="32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DPO designe</w:t>
            </w:r>
          </w:p>
        </w:tc>
        <w:tc>
          <w:tcPr>
            <w:tcW w:type="dxa" w:w="36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Delegue a la Protection des Donnees du Groupe Bayard</w:t>
            </w:r>
          </w:p>
        </w:tc>
        <w:tc>
          <w:tcPr>
            <w:tcW w:type="dxa" w:w="3106"/>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Contact via formulaire dpo.letudiant.fr</w:t>
            </w:r>
          </w:p>
        </w:tc>
      </w:tr>
      <w:tr>
        <w:tc>
          <w:tcPr>
            <w:tcW w:type="dxa" w:w="32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Sous-traitant technique</w:t>
            </w:r>
          </w:p>
        </w:tc>
        <w:tc>
          <w:tcPr>
            <w:tcW w:type="dxa" w:w="36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Google Cloud (BigQuery, GCP)</w:t>
            </w:r>
          </w:p>
        </w:tc>
        <w:tc>
          <w:tcPr>
            <w:tcW w:type="dxa" w:w="3106"/>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DPA en vigueur - Standard Contractual Clauses UE</w:t>
            </w:r>
          </w:p>
        </w:tc>
      </w:tr>
    </w:tbl>
    <w:p>
      <w:pP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0"/>
                <w:szCs w:val="20"/>
              </w:rPr>
              <w:t xml:space="preserve">2.  DONNEES TRAITEES, FINALITES &amp; BASES LEGALES</w:t>
            </w:r>
          </w:p>
        </w:tc>
      </w:tr>
    </w:tbl>
    <w:p>
      <w:pPr>
        <w:spacing w:after="0" w:before="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106"/>
      </w:tblGrid>
      <w:tr>
        <w:tc>
          <w:tcPr>
            <w:tcW w:type="dxa" w:w="32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Donnee traitee</w:t>
            </w:r>
          </w:p>
        </w:tc>
        <w:tc>
          <w:tcPr>
            <w:tcW w:type="dxa" w:w="36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Finalite</w:t>
            </w:r>
          </w:p>
        </w:tc>
        <w:tc>
          <w:tcPr>
            <w:tcW w:type="dxa" w:w="3106"/>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Base legale</w:t>
            </w:r>
          </w:p>
        </w:tc>
      </w:tr>
      <w:tr>
        <w:tc>
          <w:tcPr>
            <w:tcW w:type="dxa" w:w="32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Profil inscrit (niveau, filiere, serie, profil)</w:t>
            </w:r>
          </w:p>
        </w:tc>
        <w:tc>
          <w:tcPr>
            <w:tcW w:type="dxa" w:w="36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Segmentation et scoring d'intention - Produit Barometre</w:t>
            </w:r>
          </w:p>
        </w:tc>
        <w:tc>
          <w:tcPr>
            <w:tcW w:type="dxa" w:w="3106"/>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Interet legitime (art. 6.1.f) - amelioration du service d'orientation</w:t>
            </w:r>
          </w:p>
        </w:tc>
      </w:tr>
      <w:tr>
        <w:tc>
          <w:tcPr>
            <w:tcW w:type="dxa" w:w="32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Donnees comportementales CRM (opened, clicked)</w:t>
            </w:r>
          </w:p>
        </w:tc>
        <w:tc>
          <w:tcPr>
            <w:tcW w:type="dxa" w:w="36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Calcul du score d'engagement email - Pipeline scoring</w:t>
            </w:r>
          </w:p>
        </w:tc>
        <w:tc>
          <w:tcPr>
            <w:tcW w:type="dxa" w:w="3106"/>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Interet legitime (art. 6.1.f) - personnalisation des communications</w:t>
            </w:r>
          </w:p>
        </w:tc>
      </w:tr>
      <w:tr>
        <w:tc>
          <w:tcPr>
            <w:tcW w:type="dxa" w:w="32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Presence aux salons (Showed_up, Event_id)</w:t>
            </w:r>
          </w:p>
        </w:tc>
        <w:tc>
          <w:tcPr>
            <w:tcW w:type="dxa" w:w="36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Signal d'intention physique - dimension 3 du scoring</w:t>
            </w:r>
          </w:p>
        </w:tc>
        <w:tc>
          <w:tcPr>
            <w:tcW w:type="dxa" w:w="3106"/>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Interet legitime (art. 6.1.f) - base contractuelle inscription salon</w:t>
            </w:r>
          </w:p>
        </w:tc>
      </w:tr>
      <w:tr>
        <w:tc>
          <w:tcPr>
            <w:tcW w:type="dxa" w:w="32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Conversations agent IA (nb sessions)</w:t>
            </w:r>
          </w:p>
        </w:tc>
        <w:tc>
          <w:tcPr>
            <w:tcW w:type="dxa" w:w="36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Signal d'intention declaree - dimension 2 du scoring</w:t>
            </w:r>
          </w:p>
        </w:tc>
        <w:tc>
          <w:tcPr>
            <w:tcW w:type="dxa" w:w="3106"/>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Interet legitime (art. 6.1.f) - amelioration service agent</w:t>
            </w:r>
          </w:p>
        </w:tc>
      </w:tr>
      <w:tr>
        <w:tc>
          <w:tcPr>
            <w:tcW w:type="dxa" w:w="32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Donnees geographiques (Region, Departement)</w:t>
            </w:r>
          </w:p>
        </w:tc>
        <w:tc>
          <w:tcPr>
            <w:tcW w:type="dxa" w:w="36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Segmentation Barometre par bassin de recrutement</w:t>
            </w:r>
          </w:p>
        </w:tc>
        <w:tc>
          <w:tcPr>
            <w:tcW w:type="dxa" w:w="3106"/>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Interet legitime (art. 6.1.f)</w:t>
            </w:r>
          </w:p>
        </w:tc>
      </w:tr>
      <w:tr>
        <w:tc>
          <w:tcPr>
            <w:tcW w:type="dxa" w:w="32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CSP probabiliste (Proba_CSP_Plus/Moins)</w:t>
            </w:r>
          </w:p>
        </w:tc>
        <w:tc>
          <w:tcPr>
            <w:tcW w:type="dxa" w:w="36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Enrichissement contextuel - non nominatif (agregat INSEE)</w:t>
            </w:r>
          </w:p>
        </w:tc>
        <w:tc>
          <w:tcPr>
            <w:tcW w:type="dxa" w:w="3106"/>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Interet legitime - donnee derive agregee, non identifiante</w:t>
            </w:r>
          </w:p>
        </w:tc>
      </w:tr>
      <w:tr>
        <w:tc>
          <w:tcPr>
            <w:tcW w:type="dxa" w:w="32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Optin commercial (optin_commercial_actuel)</w:t>
            </w:r>
          </w:p>
        </w:tc>
        <w:tc>
          <w:tcPr>
            <w:tcW w:type="dxa" w:w="36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Transmission leads aux ecoles partenaires (Produit 2)</w:t>
            </w:r>
          </w:p>
        </w:tc>
        <w:tc>
          <w:tcPr>
            <w:tcW w:type="dxa" w:w="3106"/>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Consentement explicite (art. 6.1.a) - case cochee a l'inscription</w:t>
            </w:r>
          </w:p>
        </w:tc>
      </w:tr>
      <w:tr>
        <w:tc>
          <w:tcPr>
            <w:tcW w:type="dxa" w:w="32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Email, telephone (pseudonymises - BYTES)</w:t>
            </w:r>
          </w:p>
        </w:tc>
        <w:tc>
          <w:tcPr>
            <w:tcW w:type="dxa" w:w="3600"/>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Identification inscrit - non transmis aux ecoles</w:t>
            </w:r>
          </w:p>
        </w:tc>
        <w:tc>
          <w:tcPr>
            <w:tcW w:type="dxa" w:w="3106"/>
            <w:tcBorders>
              <w:top w:val="single" w:color="E5E7EB" w:sz="1"/>
              <w:left w:val="single" w:color="E5E7EB" w:sz="1"/>
              <w:bottom w:val="single" w:color="E5E7EB" w:sz="1"/>
              <w:right w:val="single" w:color="E5E7EB" w:sz="1"/>
            </w:tcBorders>
            <w:shd w:fill="FFFFFF" w:val="clear"/>
            <w:tcMar>
              <w:top w:type="dxa" w:w="90"/>
              <w:left w:type="dxa" w:w="120"/>
              <w:bottom w:type="dxa" w:w="90"/>
              <w:right w:type="dxa" w:w="120"/>
            </w:tcMar>
          </w:tcPr>
          <w:p>
            <w:r>
              <w:rPr>
                <w:rFonts w:ascii="Arial" w:cs="Arial" w:eastAsia="Arial" w:hAnsi="Arial"/>
                <w:color w:val="1A1A2E"/>
                <w:sz w:val="17"/>
                <w:szCs w:val="17"/>
              </w:rPr>
              <w:t xml:space="preserve">NON traite en clair dans ce pipeline - reste pseudonymise</w:t>
            </w:r>
          </w:p>
        </w:tc>
      </w:tr>
    </w:tbl>
    <w:p>
      <w:pPr>
        <w:spacing w:after="0" w:before="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059669" w:sz="6"/>
              <w:left w:val="none" w:color="FFFFFF" w:sz="0"/>
              <w:bottom w:val="single" w:color="E5E7EB" w:sz="1"/>
              <w:right w:val="none" w:color="FFFFFF" w:sz="0"/>
            </w:tcBorders>
            <w:shd w:fill="F0FDF4" w:val="clear"/>
            <w:tcMar>
              <w:top w:type="dxa" w:w="140"/>
              <w:left w:type="dxa" w:w="200"/>
              <w:bottom w:type="dxa" w:w="140"/>
              <w:right w:type="dxa" w:w="200"/>
            </w:tcMar>
          </w:tcPr>
          <w:p>
            <w:r>
              <w:rPr>
                <w:rFonts w:ascii="Arial" w:cs="Arial" w:eastAsia="Arial" w:hAnsi="Arial"/>
                <w:color w:val="1A1A2E"/>
                <w:sz w:val="18"/>
                <w:szCs w:val="18"/>
              </w:rPr>
              <w:t xml:space="preserve">POINT CLE : La transmission de leads aux etablissements (Produit 2) ne concerne QUE les inscrits ayant donne leur consentement explicite via optin_commercial_actuel = TRUE. Les donnees email et telephone (stockees en BYTES dans BigQuery) ne sont JAMAIS transmises en clair. Les etablissements recoivent un identifiant opaque + le score + les attributs agregation (filiere, niveau, region).</w:t>
            </w:r>
          </w:p>
        </w:tc>
      </w:tr>
    </w:tbl>
    <w:p>
      <w:pP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0"/>
                <w:szCs w:val="20"/>
              </w:rPr>
              <w:t xml:space="preserve">3.  DUREE DE CONSERVATION</w:t>
            </w:r>
          </w:p>
        </w:tc>
      </w:tr>
    </w:tbl>
    <w:p>
      <w:pPr>
        <w:spacing w:after="0" w:before="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106"/>
      </w:tblGrid>
      <w:tr>
        <w:tc>
          <w:tcPr>
            <w:tcW w:type="dxa" w:w="32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Donnee traitee</w:t>
            </w:r>
          </w:p>
        </w:tc>
        <w:tc>
          <w:tcPr>
            <w:tcW w:type="dxa" w:w="36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Finalite</w:t>
            </w:r>
          </w:p>
        </w:tc>
        <w:tc>
          <w:tcPr>
            <w:tcW w:type="dxa" w:w="3106"/>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Base legale</w:t>
            </w:r>
          </w:p>
        </w:tc>
      </w:tr>
      <w:tr>
        <w:tc>
          <w:tcPr>
            <w:tcW w:type="dxa" w:w="32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Profil inscrit (Site_Inscrits)</w:t>
            </w:r>
          </w:p>
        </w:tc>
        <w:tc>
          <w:tcPr>
            <w:tcW w:type="dxa" w:w="36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Duree d'activite du compte + 3 ans apres derniere connexion</w:t>
            </w:r>
          </w:p>
        </w:tc>
        <w:tc>
          <w:tcPr>
            <w:tcW w:type="dxa" w:w="3106"/>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Conformement aux CGU L'Etudiant</w:t>
            </w:r>
          </w:p>
        </w:tc>
      </w:tr>
      <w:tr>
        <w:tc>
          <w:tcPr>
            <w:tcW w:type="dxa" w:w="32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Donnees CRM (Communications)</w:t>
            </w:r>
          </w:p>
        </w:tc>
        <w:tc>
          <w:tcPr>
            <w:tcW w:type="dxa" w:w="36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3 ans a compter de la derniere interaction</w:t>
            </w:r>
          </w:p>
        </w:tc>
        <w:tc>
          <w:tcPr>
            <w:tcW w:type="dxa" w:w="3106"/>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Purgees automatiquement au-dela</w:t>
            </w:r>
          </w:p>
        </w:tc>
      </w:tr>
      <w:tr>
        <w:tc>
          <w:tcPr>
            <w:tcW w:type="dxa" w:w="32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Table de scoring (lead_scores_output)</w:t>
            </w:r>
          </w:p>
        </w:tc>
        <w:tc>
          <w:tcPr>
            <w:tcW w:type="dxa" w:w="36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12 mois glissants - recalcul mensuel avec ecrasement</w:t>
            </w:r>
          </w:p>
        </w:tc>
        <w:tc>
          <w:tcPr>
            <w:tcW w:type="dxa" w:w="3106"/>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Pas de conservation de l'historique des scores</w:t>
            </w:r>
          </w:p>
        </w:tc>
      </w:tr>
      <w:tr>
        <w:tc>
          <w:tcPr>
            <w:tcW w:type="dxa" w:w="32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Logs agent conversationnel</w:t>
            </w:r>
          </w:p>
        </w:tc>
        <w:tc>
          <w:tcPr>
            <w:tcW w:type="dxa" w:w="36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24 mois - conversations anonymisees apres 6 mois</w:t>
            </w:r>
          </w:p>
        </w:tc>
        <w:tc>
          <w:tcPr>
            <w:tcW w:type="dxa" w:w="3106"/>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Conformement a la politique IA L'Etudiant</w:t>
            </w:r>
          </w:p>
        </w:tc>
      </w:tr>
      <w:tr>
        <w:tc>
          <w:tcPr>
            <w:tcW w:type="dxa" w:w="32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Donnees salons</w:t>
            </w:r>
          </w:p>
        </w:tc>
        <w:tc>
          <w:tcPr>
            <w:tcW w:type="dxa" w:w="36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3 ans post-evenement</w:t>
            </w:r>
          </w:p>
        </w:tc>
        <w:tc>
          <w:tcPr>
            <w:tcW w:type="dxa" w:w="3106"/>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Conformement aux conditions d'inscription salon</w:t>
            </w:r>
          </w:p>
        </w:tc>
      </w:tr>
    </w:tbl>
    <w:p>
      <w:pP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0"/>
                <w:szCs w:val="20"/>
              </w:rPr>
              <w:t xml:space="preserve">4.  DROITS DES PERSONNES</w:t>
            </w:r>
          </w:p>
        </w:tc>
      </w:tr>
    </w:tbl>
    <w:p>
      <w:pPr>
        <w:spacing w:after="0" w:before="100"/>
      </w:pPr>
    </w:p>
    <w:p>
      <w:pPr>
        <w:spacing w:after="80" w:before="80"/>
      </w:pPr>
      <w:r>
        <w:rPr>
          <w:rFonts w:ascii="Arial" w:cs="Arial" w:eastAsia="Arial" w:hAnsi="Arial"/>
          <w:b/>
          <w:bCs/>
          <w:color w:val="1A1A2E"/>
          <w:sz w:val="20"/>
          <w:szCs w:val="20"/>
        </w:rPr>
        <w:t xml:space="preserve">Canal d'exercice des droits : </w:t>
      </w:r>
      <w:r>
        <w:rPr>
          <w:rFonts w:ascii="Arial" w:cs="Arial" w:eastAsia="Arial" w:hAnsi="Arial"/>
          <w:color w:val="1A1A2E"/>
          <w:sz w:val="20"/>
          <w:szCs w:val="20"/>
        </w:rPr>
        <w:t xml:space="preserve">formulaire en ligne letudiant.fr/mes-donnees ou courrier postal au DPO.</w:t>
      </w:r>
    </w:p>
    <w:p>
      <w:pPr>
        <w:spacing w:after="0" w:before="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106"/>
      </w:tblGrid>
      <w:tr>
        <w:tc>
          <w:tcPr>
            <w:tcW w:type="dxa" w:w="32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Donnee traitee</w:t>
            </w:r>
          </w:p>
        </w:tc>
        <w:tc>
          <w:tcPr>
            <w:tcW w:type="dxa" w:w="36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Finalite</w:t>
            </w:r>
          </w:p>
        </w:tc>
        <w:tc>
          <w:tcPr>
            <w:tcW w:type="dxa" w:w="3106"/>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Base legale</w:t>
            </w:r>
          </w:p>
        </w:tc>
      </w:tr>
      <w:tr>
        <w:tc>
          <w:tcPr>
            <w:tcW w:type="dxa" w:w="32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Droit d'acces (art. 15)</w:t>
            </w:r>
          </w:p>
        </w:tc>
        <w:tc>
          <w:tcPr>
            <w:tcW w:type="dxa" w:w="36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Inscription peut demander la liste des donnees la concernant</w:t>
            </w:r>
          </w:p>
        </w:tc>
        <w:tc>
          <w:tcPr>
            <w:tcW w:type="dxa" w:w="3106"/>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Reponse sous 30 jours</w:t>
            </w:r>
          </w:p>
        </w:tc>
      </w:tr>
      <w:tr>
        <w:tc>
          <w:tcPr>
            <w:tcW w:type="dxa" w:w="32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Droit de rectification (art. 16)</w:t>
            </w:r>
          </w:p>
        </w:tc>
        <w:tc>
          <w:tcPr>
            <w:tcW w:type="dxa" w:w="36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Correction des donnees inexactes (filiere, niveau, etc.)</w:t>
            </w:r>
          </w:p>
        </w:tc>
        <w:tc>
          <w:tcPr>
            <w:tcW w:type="dxa" w:w="3106"/>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Via espace personnel letudiant.fr</w:t>
            </w:r>
          </w:p>
        </w:tc>
      </w:tr>
      <w:tr>
        <w:tc>
          <w:tcPr>
            <w:tcW w:type="dxa" w:w="32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Droit a l'effacement (art. 17)</w:t>
            </w:r>
          </w:p>
        </w:tc>
        <w:tc>
          <w:tcPr>
            <w:tcW w:type="dxa" w:w="36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Suppression du compte et des donnees associees</w:t>
            </w:r>
          </w:p>
        </w:tc>
        <w:tc>
          <w:tcPr>
            <w:tcW w:type="dxa" w:w="3106"/>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Hors obligations legales de conservation</w:t>
            </w:r>
          </w:p>
        </w:tc>
      </w:tr>
      <w:tr>
        <w:tc>
          <w:tcPr>
            <w:tcW w:type="dxa" w:w="32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Droit d'opposition (art. 21)</w:t>
            </w:r>
          </w:p>
        </w:tc>
        <w:tc>
          <w:tcPr>
            <w:tcW w:type="dxa" w:w="36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Opposition au traitement fonde sur interet legitime</w:t>
            </w:r>
          </w:p>
        </w:tc>
        <w:tc>
          <w:tcPr>
            <w:tcW w:type="dxa" w:w="3106"/>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Impact : exclusion du Barometre et du scoring leads</w:t>
            </w:r>
          </w:p>
        </w:tc>
      </w:tr>
      <w:tr>
        <w:tc>
          <w:tcPr>
            <w:tcW w:type="dxa" w:w="32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Droit a la portabilite (art. 20)</w:t>
            </w:r>
          </w:p>
        </w:tc>
        <w:tc>
          <w:tcPr>
            <w:tcW w:type="dxa" w:w="36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Export des donnees fournies consciemment</w:t>
            </w:r>
          </w:p>
        </w:tc>
        <w:tc>
          <w:tcPr>
            <w:tcW w:type="dxa" w:w="3106"/>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Format CSV sur demande</w:t>
            </w:r>
          </w:p>
        </w:tc>
      </w:tr>
      <w:tr>
        <w:tc>
          <w:tcPr>
            <w:tcW w:type="dxa" w:w="32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Retrait du consentement (art. 7.3)</w:t>
            </w:r>
          </w:p>
        </w:tc>
        <w:tc>
          <w:tcPr>
            <w:tcW w:type="dxa" w:w="36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Retrait optin commercial a tout moment</w:t>
            </w:r>
          </w:p>
        </w:tc>
        <w:tc>
          <w:tcPr>
            <w:tcW w:type="dxa" w:w="3106"/>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Exclusion immediate du pipeline leads</w:t>
            </w:r>
          </w:p>
        </w:tc>
      </w:tr>
    </w:tbl>
    <w:p>
      <w:pP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0"/>
                <w:szCs w:val="20"/>
              </w:rPr>
              <w:t xml:space="preserve">5.  MESURES DE SECURITE</w:t>
            </w:r>
          </w:p>
        </w:tc>
      </w:tr>
    </w:tbl>
    <w:p>
      <w:pPr>
        <w:spacing w:after="0" w:before="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106"/>
      </w:tblGrid>
      <w:tr>
        <w:tc>
          <w:tcPr>
            <w:tcW w:type="dxa" w:w="32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Donnee traitee</w:t>
            </w:r>
          </w:p>
        </w:tc>
        <w:tc>
          <w:tcPr>
            <w:tcW w:type="dxa" w:w="36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Finalite</w:t>
            </w:r>
          </w:p>
        </w:tc>
        <w:tc>
          <w:tcPr>
            <w:tcW w:type="dxa" w:w="3106"/>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Base legale</w:t>
            </w:r>
          </w:p>
        </w:tc>
      </w:tr>
      <w:tr>
        <w:tc>
          <w:tcPr>
            <w:tcW w:type="dxa" w:w="32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Pseudonymisation</w:t>
            </w:r>
          </w:p>
        </w:tc>
        <w:tc>
          <w:tcPr>
            <w:tcW w:type="dxa" w:w="36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Email et tel. stockes en BYTES (non lisibles) dans BigQuery</w:t>
            </w:r>
          </w:p>
        </w:tc>
        <w:tc>
          <w:tcPr>
            <w:tcW w:type="dxa" w:w="3106"/>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Irreversible sans cle de dechiffrement L'Etudiant</w:t>
            </w:r>
          </w:p>
        </w:tc>
      </w:tr>
      <w:tr>
        <w:tc>
          <w:tcPr>
            <w:tcW w:type="dxa" w:w="32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Controle d'acces</w:t>
            </w:r>
          </w:p>
        </w:tc>
        <w:tc>
          <w:tcPr>
            <w:tcW w:type="dxa" w:w="36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IAM BigQuery - acces restreint aux membres de l'equipe projet</w:t>
            </w:r>
          </w:p>
        </w:tc>
        <w:tc>
          <w:tcPr>
            <w:tcW w:type="dxa" w:w="3106"/>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Principe du moindre privilege</w:t>
            </w:r>
          </w:p>
        </w:tc>
      </w:tr>
      <w:tr>
        <w:tc>
          <w:tcPr>
            <w:tcW w:type="dxa" w:w="32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Chiffrement au repos</w:t>
            </w:r>
          </w:p>
        </w:tc>
        <w:tc>
          <w:tcPr>
            <w:tcW w:type="dxa" w:w="36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Chiffrement natif Google Cloud (AES-256)</w:t>
            </w:r>
          </w:p>
        </w:tc>
        <w:tc>
          <w:tcPr>
            <w:tcW w:type="dxa" w:w="3106"/>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Par defaut sur tous les datasets BigQuery</w:t>
            </w:r>
          </w:p>
        </w:tc>
      </w:tr>
      <w:tr>
        <w:tc>
          <w:tcPr>
            <w:tcW w:type="dxa" w:w="32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Transferts UE</w:t>
            </w:r>
          </w:p>
        </w:tc>
        <w:tc>
          <w:tcPr>
            <w:tcW w:type="dxa" w:w="36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Donnees hebergees en region europe-west1 (Belgique)</w:t>
            </w:r>
          </w:p>
        </w:tc>
        <w:tc>
          <w:tcPr>
            <w:tcW w:type="dxa" w:w="3106"/>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Pas de transfert hors UE - DPA Google Cloud signe</w:t>
            </w:r>
          </w:p>
        </w:tc>
      </w:tr>
      <w:tr>
        <w:tc>
          <w:tcPr>
            <w:tcW w:type="dxa" w:w="32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Journalisation</w:t>
            </w:r>
          </w:p>
        </w:tc>
        <w:tc>
          <w:tcPr>
            <w:tcW w:type="dxa" w:w="3600"/>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Audit logs BigQuery actives - toute requete tracee</w:t>
            </w:r>
          </w:p>
        </w:tc>
        <w:tc>
          <w:tcPr>
            <w:tcW w:type="dxa" w:w="3106"/>
            <w:tcBorders>
              <w:top w:val="single" w:color="E5E7EB" w:sz="1"/>
              <w:left w:val="single" w:color="E5E7EB" w:sz="1"/>
              <w:bottom w:val="single" w:color="E5E7EB" w:sz="1"/>
              <w:right w:val="single" w:color="E5E7EB" w:sz="1"/>
            </w:tcBorders>
            <w:shd w:fill="F4F6F9" w:val="clear"/>
            <w:tcMar>
              <w:top w:type="dxa" w:w="90"/>
              <w:left w:type="dxa" w:w="120"/>
              <w:bottom w:type="dxa" w:w="90"/>
              <w:right w:type="dxa" w:w="120"/>
            </w:tcMar>
          </w:tcPr>
          <w:p>
            <w:r>
              <w:rPr>
                <w:rFonts w:ascii="Arial" w:cs="Arial" w:eastAsia="Arial" w:hAnsi="Arial"/>
                <w:color w:val="1A1A2E"/>
                <w:sz w:val="17"/>
                <w:szCs w:val="17"/>
              </w:rPr>
              <w:t xml:space="preserve">Conservation 90 jours des logs d'acces</w:t>
            </w:r>
          </w:p>
        </w:tc>
      </w:tr>
    </w:tbl>
    <w:p>
      <w:pP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0"/>
                <w:szCs w:val="20"/>
              </w:rPr>
              <w:t xml:space="preserve">6.  ANALYSE D'IMPACT (AIPD) - EVALUATION PRELIMINAIRE</w:t>
            </w:r>
          </w:p>
        </w:tc>
      </w:tr>
    </w:tbl>
    <w:p>
      <w:pPr>
        <w:spacing w:after="0" w:before="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D97706" w:sz="6"/>
              <w:left w:val="none" w:color="FFFFFF" w:sz="0"/>
              <w:bottom w:val="single" w:color="E5E7EB" w:sz="1"/>
              <w:right w:val="none" w:color="FFFFFF" w:sz="0"/>
            </w:tcBorders>
            <w:shd w:fill="FFF9C4" w:val="clear"/>
            <w:tcMar>
              <w:top w:type="dxa" w:w="140"/>
              <w:left w:type="dxa" w:w="200"/>
              <w:bottom w:type="dxa" w:w="140"/>
              <w:right w:type="dxa" w:w="200"/>
            </w:tcMar>
          </w:tcPr>
          <w:p>
            <w:r>
              <w:rPr>
                <w:rFonts w:ascii="Arial" w:cs="Arial" w:eastAsia="Arial" w:hAnsi="Arial"/>
                <w:color w:val="1A1A2E"/>
                <w:sz w:val="18"/>
                <w:szCs w:val="18"/>
              </w:rPr>
              <w:t xml:space="preserve">Le traitement de scoring combine des donnees comportementales, geographiques et socio-economiques sur une population d'etudiants mineurs et majeurs. Ce traitement est susceptible d'entrer dans le champ de l'article 35 RGPD (evaluation systematique de personnes). Recommandation : conduire une AIPD complete avant mise en production industrielle. Criteres identifies : profilage, donnees de mineurs potentiels (-15 ans pour les 3emes/4emes), traitement a grande echelle (4M inscrits).</w:t>
            </w:r>
          </w:p>
        </w:tc>
      </w:tr>
    </w:tbl>
    <w:p>
      <w:pPr>
        <w:spacing w:after="0" w:before="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106"/>
      </w:tblGrid>
      <w:tr>
        <w:tc>
          <w:tcPr>
            <w:tcW w:type="dxa" w:w="32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Donnee traitee</w:t>
            </w:r>
          </w:p>
        </w:tc>
        <w:tc>
          <w:tcPr>
            <w:tcW w:type="dxa" w:w="36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Finalite</w:t>
            </w:r>
          </w:p>
        </w:tc>
        <w:tc>
          <w:tcPr>
            <w:tcW w:type="dxa" w:w="3106"/>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Base legale</w:t>
            </w:r>
          </w:p>
        </w:tc>
      </w:tr>
      <w:tr>
        <w:tc>
          <w:tcPr>
            <w:tcW w:type="dxa" w:w="3200"/>
            <w:tcBorders>
              <w:top w:val="single" w:color="E5E7EB" w:sz="1"/>
              <w:left w:val="single" w:color="E5E7EB" w:sz="1"/>
              <w:bottom w:val="single" w:color="E5E7EB" w:sz="1"/>
              <w:right w:val="single" w:color="E5E7EB" w:sz="1"/>
            </w:tcBorders>
            <w:shd w:fill="FEF3C7" w:val="clear"/>
            <w:tcMar>
              <w:top w:type="dxa" w:w="90"/>
              <w:left w:type="dxa" w:w="120"/>
              <w:bottom w:type="dxa" w:w="90"/>
              <w:right w:type="dxa" w:w="120"/>
            </w:tcMar>
          </w:tcPr>
          <w:p>
            <w:r>
              <w:rPr>
                <w:rFonts w:ascii="Arial" w:cs="Arial" w:eastAsia="Arial" w:hAnsi="Arial"/>
                <w:color w:val="1A1A2E"/>
                <w:sz w:val="17"/>
                <w:szCs w:val="17"/>
              </w:rPr>
              <w:t xml:space="preserve">Traitement de mineurs</w:t>
            </w:r>
          </w:p>
        </w:tc>
        <w:tc>
          <w:tcPr>
            <w:tcW w:type="dxa" w:w="3600"/>
            <w:tcBorders>
              <w:top w:val="single" w:color="E5E7EB" w:sz="1"/>
              <w:left w:val="single" w:color="E5E7EB" w:sz="1"/>
              <w:bottom w:val="single" w:color="E5E7EB" w:sz="1"/>
              <w:right w:val="single" w:color="E5E7EB" w:sz="1"/>
            </w:tcBorders>
            <w:shd w:fill="FEF3C7" w:val="clear"/>
            <w:tcMar>
              <w:top w:type="dxa" w:w="90"/>
              <w:left w:type="dxa" w:w="120"/>
              <w:bottom w:type="dxa" w:w="90"/>
              <w:right w:type="dxa" w:w="120"/>
            </w:tcMar>
          </w:tcPr>
          <w:p>
            <w:r>
              <w:rPr>
                <w:rFonts w:ascii="Arial" w:cs="Arial" w:eastAsia="Arial" w:hAnsi="Arial"/>
                <w:color w:val="1A1A2E"/>
                <w:sz w:val="17"/>
                <w:szCs w:val="17"/>
              </w:rPr>
              <w:t xml:space="preserve">Risque eleve - inscrits 3eme/4eme possiblement &lt; 15 ans</w:t>
            </w:r>
          </w:p>
        </w:tc>
        <w:tc>
          <w:tcPr>
            <w:tcW w:type="dxa" w:w="3106"/>
            <w:tcBorders>
              <w:top w:val="single" w:color="E5E7EB" w:sz="1"/>
              <w:left w:val="single" w:color="E5E7EB" w:sz="1"/>
              <w:bottom w:val="single" w:color="E5E7EB" w:sz="1"/>
              <w:right w:val="single" w:color="E5E7EB" w:sz="1"/>
            </w:tcBorders>
            <w:shd w:fill="FEF3C7" w:val="clear"/>
            <w:tcMar>
              <w:top w:type="dxa" w:w="90"/>
              <w:left w:type="dxa" w:w="120"/>
              <w:bottom w:type="dxa" w:w="90"/>
              <w:right w:type="dxa" w:w="120"/>
            </w:tcMar>
          </w:tcPr>
          <w:p>
            <w:r>
              <w:rPr>
                <w:rFonts w:ascii="Arial" w:cs="Arial" w:eastAsia="Arial" w:hAnsi="Arial"/>
                <w:color w:val="1A1A2E"/>
                <w:sz w:val="17"/>
                <w:szCs w:val="17"/>
              </w:rPr>
              <w:t xml:space="preserve">MESURE : filtrer explicitement sur age &gt; 15 ans avant scoring</w:t>
            </w:r>
          </w:p>
        </w:tc>
      </w:tr>
      <w:tr>
        <w:tc>
          <w:tcPr>
            <w:tcW w:type="dxa" w:w="3200"/>
            <w:tcBorders>
              <w:top w:val="single" w:color="E5E7EB" w:sz="1"/>
              <w:left w:val="single" w:color="E5E7EB" w:sz="1"/>
              <w:bottom w:val="single" w:color="E5E7EB" w:sz="1"/>
              <w:right w:val="single" w:color="E5E7EB" w:sz="1"/>
            </w:tcBorders>
            <w:shd w:fill="FEF3C7" w:val="clear"/>
            <w:tcMar>
              <w:top w:type="dxa" w:w="90"/>
              <w:left w:type="dxa" w:w="120"/>
              <w:bottom w:type="dxa" w:w="90"/>
              <w:right w:type="dxa" w:w="120"/>
            </w:tcMar>
          </w:tcPr>
          <w:p>
            <w:r>
              <w:rPr>
                <w:rFonts w:ascii="Arial" w:cs="Arial" w:eastAsia="Arial" w:hAnsi="Arial"/>
                <w:color w:val="1A1A2E"/>
                <w:sz w:val="17"/>
                <w:szCs w:val="17"/>
              </w:rPr>
              <w:t xml:space="preserve">Profilage systematique</w:t>
            </w:r>
          </w:p>
        </w:tc>
        <w:tc>
          <w:tcPr>
            <w:tcW w:type="dxa" w:w="3600"/>
            <w:tcBorders>
              <w:top w:val="single" w:color="E5E7EB" w:sz="1"/>
              <w:left w:val="single" w:color="E5E7EB" w:sz="1"/>
              <w:bottom w:val="single" w:color="E5E7EB" w:sz="1"/>
              <w:right w:val="single" w:color="E5E7EB" w:sz="1"/>
            </w:tcBorders>
            <w:shd w:fill="FEF3C7" w:val="clear"/>
            <w:tcMar>
              <w:top w:type="dxa" w:w="90"/>
              <w:left w:type="dxa" w:w="120"/>
              <w:bottom w:type="dxa" w:w="90"/>
              <w:right w:type="dxa" w:w="120"/>
            </w:tcMar>
          </w:tcPr>
          <w:p>
            <w:r>
              <w:rPr>
                <w:rFonts w:ascii="Arial" w:cs="Arial" w:eastAsia="Arial" w:hAnsi="Arial"/>
                <w:color w:val="1A1A2E"/>
                <w:sz w:val="17"/>
                <w:szCs w:val="17"/>
              </w:rPr>
              <w:t xml:space="preserve">Score attribue a chaque inscrit - impact potentiel (acces leads)</w:t>
            </w:r>
          </w:p>
        </w:tc>
        <w:tc>
          <w:tcPr>
            <w:tcW w:type="dxa" w:w="3106"/>
            <w:tcBorders>
              <w:top w:val="single" w:color="E5E7EB" w:sz="1"/>
              <w:left w:val="single" w:color="E5E7EB" w:sz="1"/>
              <w:bottom w:val="single" w:color="E5E7EB" w:sz="1"/>
              <w:right w:val="single" w:color="E5E7EB" w:sz="1"/>
            </w:tcBorders>
            <w:shd w:fill="FEF3C7" w:val="clear"/>
            <w:tcMar>
              <w:top w:type="dxa" w:w="90"/>
              <w:left w:type="dxa" w:w="120"/>
              <w:bottom w:type="dxa" w:w="90"/>
              <w:right w:type="dxa" w:w="120"/>
            </w:tcMar>
          </w:tcPr>
          <w:p>
            <w:r>
              <w:rPr>
                <w:rFonts w:ascii="Arial" w:cs="Arial" w:eastAsia="Arial" w:hAnsi="Arial"/>
                <w:color w:val="1A1A2E"/>
                <w:sz w:val="17"/>
                <w:szCs w:val="17"/>
              </w:rPr>
              <w:t xml:space="preserve">MESURE : scoring non-discriminatoire, base sur comportement opt-in</w:t>
            </w:r>
          </w:p>
        </w:tc>
      </w:tr>
      <w:tr>
        <w:tc>
          <w:tcPr>
            <w:tcW w:type="dxa" w:w="3200"/>
            <w:tcBorders>
              <w:top w:val="single" w:color="E5E7EB" w:sz="1"/>
              <w:left w:val="single" w:color="E5E7EB" w:sz="1"/>
              <w:bottom w:val="single" w:color="E5E7EB" w:sz="1"/>
              <w:right w:val="single" w:color="E5E7EB" w:sz="1"/>
            </w:tcBorders>
            <w:shd w:fill="FEF3C7" w:val="clear"/>
            <w:tcMar>
              <w:top w:type="dxa" w:w="90"/>
              <w:left w:type="dxa" w:w="120"/>
              <w:bottom w:type="dxa" w:w="90"/>
              <w:right w:type="dxa" w:w="120"/>
            </w:tcMar>
          </w:tcPr>
          <w:p>
            <w:r>
              <w:rPr>
                <w:rFonts w:ascii="Arial" w:cs="Arial" w:eastAsia="Arial" w:hAnsi="Arial"/>
                <w:color w:val="1A1A2E"/>
                <w:sz w:val="17"/>
                <w:szCs w:val="17"/>
              </w:rPr>
              <w:t xml:space="preserve">Transmission a des tiers</w:t>
            </w:r>
          </w:p>
        </w:tc>
        <w:tc>
          <w:tcPr>
            <w:tcW w:type="dxa" w:w="3600"/>
            <w:tcBorders>
              <w:top w:val="single" w:color="E5E7EB" w:sz="1"/>
              <w:left w:val="single" w:color="E5E7EB" w:sz="1"/>
              <w:bottom w:val="single" w:color="E5E7EB" w:sz="1"/>
              <w:right w:val="single" w:color="E5E7EB" w:sz="1"/>
            </w:tcBorders>
            <w:shd w:fill="FEF3C7" w:val="clear"/>
            <w:tcMar>
              <w:top w:type="dxa" w:w="90"/>
              <w:left w:type="dxa" w:w="120"/>
              <w:bottom w:type="dxa" w:w="90"/>
              <w:right w:type="dxa" w:w="120"/>
            </w:tcMar>
          </w:tcPr>
          <w:p>
            <w:r>
              <w:rPr>
                <w:rFonts w:ascii="Arial" w:cs="Arial" w:eastAsia="Arial" w:hAnsi="Arial"/>
                <w:color w:val="1A1A2E"/>
                <w:sz w:val="17"/>
                <w:szCs w:val="17"/>
              </w:rPr>
              <w:t xml:space="preserve">Etablissements acheteurs de leads = nouveaux responsables</w:t>
            </w:r>
          </w:p>
        </w:tc>
        <w:tc>
          <w:tcPr>
            <w:tcW w:type="dxa" w:w="3106"/>
            <w:tcBorders>
              <w:top w:val="single" w:color="E5E7EB" w:sz="1"/>
              <w:left w:val="single" w:color="E5E7EB" w:sz="1"/>
              <w:bottom w:val="single" w:color="E5E7EB" w:sz="1"/>
              <w:right w:val="single" w:color="E5E7EB" w:sz="1"/>
            </w:tcBorders>
            <w:shd w:fill="FEF3C7" w:val="clear"/>
            <w:tcMar>
              <w:top w:type="dxa" w:w="90"/>
              <w:left w:type="dxa" w:w="120"/>
              <w:bottom w:type="dxa" w:w="90"/>
              <w:right w:type="dxa" w:w="120"/>
            </w:tcMar>
          </w:tcPr>
          <w:p>
            <w:r>
              <w:rPr>
                <w:rFonts w:ascii="Arial" w:cs="Arial" w:eastAsia="Arial" w:hAnsi="Arial"/>
                <w:color w:val="1A1A2E"/>
                <w:sz w:val="17"/>
                <w:szCs w:val="17"/>
              </w:rPr>
              <w:t xml:space="preserve">MESURE : clause contractuelle DPA avec chaque etablissement partenaire</w:t>
            </w:r>
          </w:p>
        </w:tc>
      </w:tr>
    </w:tbl>
    <w:p>
      <w:pP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0"/>
                <w:szCs w:val="20"/>
              </w:rPr>
              <w:t xml:space="preserve">7.  ENGAGEMENTS &amp; PROCHAINES ETAPES CONFORMITE</w:t>
            </w:r>
          </w:p>
        </w:tc>
      </w:tr>
    </w:tbl>
    <w:p>
      <w:pPr>
        <w:spacing w:after="0" w:before="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106"/>
      </w:tblGrid>
      <w:tr>
        <w:tc>
          <w:tcPr>
            <w:tcW w:type="dxa" w:w="32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Donnee traitee</w:t>
            </w:r>
          </w:p>
        </w:tc>
        <w:tc>
          <w:tcPr>
            <w:tcW w:type="dxa" w:w="36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Finalite</w:t>
            </w:r>
          </w:p>
        </w:tc>
        <w:tc>
          <w:tcPr>
            <w:tcW w:type="dxa" w:w="3106"/>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Base legale</w:t>
            </w:r>
          </w:p>
        </w:tc>
      </w:tr>
      <w:tr>
        <w:tc>
          <w:tcPr>
            <w:tcW w:type="dxa" w:w="3200"/>
            <w:tcBorders>
              <w:top w:val="single" w:color="E5E7EB" w:sz="1"/>
              <w:left w:val="single" w:color="E5E7EB" w:sz="1"/>
              <w:bottom w:val="single" w:color="E5E7EB" w:sz="1"/>
              <w:right w:val="single" w:color="E5E7EB" w:sz="1"/>
            </w:tcBorders>
            <w:shd w:fill="DCFCE7" w:val="clear"/>
            <w:tcMar>
              <w:top w:type="dxa" w:w="90"/>
              <w:left w:type="dxa" w:w="120"/>
              <w:bottom w:type="dxa" w:w="90"/>
              <w:right w:type="dxa" w:w="120"/>
            </w:tcMar>
          </w:tcPr>
          <w:p>
            <w:r>
              <w:rPr>
                <w:rFonts w:ascii="Arial" w:cs="Arial" w:eastAsia="Arial" w:hAnsi="Arial"/>
                <w:color w:val="1A1A2E"/>
                <w:sz w:val="17"/>
                <w:szCs w:val="17"/>
              </w:rPr>
              <w:t xml:space="preserve">Court terme (avant mise en prod)</w:t>
            </w:r>
          </w:p>
        </w:tc>
        <w:tc>
          <w:tcPr>
            <w:tcW w:type="dxa" w:w="3600"/>
            <w:tcBorders>
              <w:top w:val="single" w:color="E5E7EB" w:sz="1"/>
              <w:left w:val="single" w:color="E5E7EB" w:sz="1"/>
              <w:bottom w:val="single" w:color="E5E7EB" w:sz="1"/>
              <w:right w:val="single" w:color="E5E7EB" w:sz="1"/>
            </w:tcBorders>
            <w:shd w:fill="DCFCE7" w:val="clear"/>
            <w:tcMar>
              <w:top w:type="dxa" w:w="90"/>
              <w:left w:type="dxa" w:w="120"/>
              <w:bottom w:type="dxa" w:w="90"/>
              <w:right w:type="dxa" w:w="120"/>
            </w:tcMar>
          </w:tcPr>
          <w:p>
            <w:r>
              <w:rPr>
                <w:rFonts w:ascii="Arial" w:cs="Arial" w:eastAsia="Arial" w:hAnsi="Arial"/>
                <w:color w:val="1A1A2E"/>
                <w:sz w:val="17"/>
                <w:szCs w:val="17"/>
              </w:rPr>
              <w:t xml:space="preserve">Filtrage age &gt;= 15 ans dans le pipeline</w:t>
            </w:r>
          </w:p>
        </w:tc>
        <w:tc>
          <w:tcPr>
            <w:tcW w:type="dxa" w:w="3106"/>
            <w:tcBorders>
              <w:top w:val="single" w:color="E5E7EB" w:sz="1"/>
              <w:left w:val="single" w:color="E5E7EB" w:sz="1"/>
              <w:bottom w:val="single" w:color="E5E7EB" w:sz="1"/>
              <w:right w:val="single" w:color="E5E7EB" w:sz="1"/>
            </w:tcBorders>
            <w:shd w:fill="DCFCE7" w:val="clear"/>
            <w:tcMar>
              <w:top w:type="dxa" w:w="90"/>
              <w:left w:type="dxa" w:w="120"/>
              <w:bottom w:type="dxa" w:w="90"/>
              <w:right w:type="dxa" w:w="120"/>
            </w:tcMar>
          </w:tcPr>
          <w:p>
            <w:r>
              <w:rPr>
                <w:rFonts w:ascii="Arial" w:cs="Arial" w:eastAsia="Arial" w:hAnsi="Arial"/>
                <w:color w:val="1A1A2E"/>
                <w:sz w:val="17"/>
                <w:szCs w:val="17"/>
              </w:rPr>
              <w:t xml:space="preserve">Priorite 1 - modifier la requete SQL de segmentation</w:t>
            </w:r>
          </w:p>
        </w:tc>
      </w:tr>
      <w:tr>
        <w:tc>
          <w:tcPr>
            <w:tcW w:type="dxa" w:w="3200"/>
            <w:tcBorders>
              <w:top w:val="single" w:color="E5E7EB" w:sz="1"/>
              <w:left w:val="single" w:color="E5E7EB" w:sz="1"/>
              <w:bottom w:val="single" w:color="E5E7EB" w:sz="1"/>
              <w:right w:val="single" w:color="E5E7EB" w:sz="1"/>
            </w:tcBorders>
            <w:shd w:fill="DCFCE7" w:val="clear"/>
            <w:tcMar>
              <w:top w:type="dxa" w:w="90"/>
              <w:left w:type="dxa" w:w="120"/>
              <w:bottom w:type="dxa" w:w="90"/>
              <w:right w:type="dxa" w:w="120"/>
            </w:tcMar>
          </w:tcPr>
          <w:p>
            <w:r>
              <w:rPr>
                <w:rFonts w:ascii="Arial" w:cs="Arial" w:eastAsia="Arial" w:hAnsi="Arial"/>
                <w:color w:val="1A1A2E"/>
                <w:sz w:val="17"/>
                <w:szCs w:val="17"/>
              </w:rPr>
              <w:t xml:space="preserve">Court terme</w:t>
            </w:r>
          </w:p>
        </w:tc>
        <w:tc>
          <w:tcPr>
            <w:tcW w:type="dxa" w:w="3600"/>
            <w:tcBorders>
              <w:top w:val="single" w:color="E5E7EB" w:sz="1"/>
              <w:left w:val="single" w:color="E5E7EB" w:sz="1"/>
              <w:bottom w:val="single" w:color="E5E7EB" w:sz="1"/>
              <w:right w:val="single" w:color="E5E7EB" w:sz="1"/>
            </w:tcBorders>
            <w:shd w:fill="DCFCE7" w:val="clear"/>
            <w:tcMar>
              <w:top w:type="dxa" w:w="90"/>
              <w:left w:type="dxa" w:w="120"/>
              <w:bottom w:type="dxa" w:w="90"/>
              <w:right w:type="dxa" w:w="120"/>
            </w:tcMar>
          </w:tcPr>
          <w:p>
            <w:r>
              <w:rPr>
                <w:rFonts w:ascii="Arial" w:cs="Arial" w:eastAsia="Arial" w:hAnsi="Arial"/>
                <w:color w:val="1A1A2E"/>
                <w:sz w:val="17"/>
                <w:szCs w:val="17"/>
              </w:rPr>
              <w:t xml:space="preserve">DPA signe avec chaque etablissement destinataire leads</w:t>
            </w:r>
          </w:p>
        </w:tc>
        <w:tc>
          <w:tcPr>
            <w:tcW w:type="dxa" w:w="3106"/>
            <w:tcBorders>
              <w:top w:val="single" w:color="E5E7EB" w:sz="1"/>
              <w:left w:val="single" w:color="E5E7EB" w:sz="1"/>
              <w:bottom w:val="single" w:color="E5E7EB" w:sz="1"/>
              <w:right w:val="single" w:color="E5E7EB" w:sz="1"/>
            </w:tcBorders>
            <w:shd w:fill="DCFCE7" w:val="clear"/>
            <w:tcMar>
              <w:top w:type="dxa" w:w="90"/>
              <w:left w:type="dxa" w:w="120"/>
              <w:bottom w:type="dxa" w:w="90"/>
              <w:right w:type="dxa" w:w="120"/>
            </w:tcMar>
          </w:tcPr>
          <w:p>
            <w:r>
              <w:rPr>
                <w:rFonts w:ascii="Arial" w:cs="Arial" w:eastAsia="Arial" w:hAnsi="Arial"/>
                <w:color w:val="1A1A2E"/>
                <w:sz w:val="17"/>
                <w:szCs w:val="17"/>
              </w:rPr>
              <w:t xml:space="preserve">Template DPA a preparer avec le service juridique L'Etudiant</w:t>
            </w:r>
          </w:p>
        </w:tc>
      </w:tr>
      <w:tr>
        <w:tc>
          <w:tcPr>
            <w:tcW w:type="dxa" w:w="3200"/>
            <w:tcBorders>
              <w:top w:val="single" w:color="E5E7EB" w:sz="1"/>
              <w:left w:val="single" w:color="E5E7EB" w:sz="1"/>
              <w:bottom w:val="single" w:color="E5E7EB" w:sz="1"/>
              <w:right w:val="single" w:color="E5E7EB" w:sz="1"/>
            </w:tcBorders>
            <w:shd w:fill="FEF9C3" w:val="clear"/>
            <w:tcMar>
              <w:top w:type="dxa" w:w="90"/>
              <w:left w:type="dxa" w:w="120"/>
              <w:bottom w:type="dxa" w:w="90"/>
              <w:right w:type="dxa" w:w="120"/>
            </w:tcMar>
          </w:tcPr>
          <w:p>
            <w:r>
              <w:rPr>
                <w:rFonts w:ascii="Arial" w:cs="Arial" w:eastAsia="Arial" w:hAnsi="Arial"/>
                <w:color w:val="1A1A2E"/>
                <w:sz w:val="17"/>
                <w:szCs w:val="17"/>
              </w:rPr>
              <w:t xml:space="preserve">Moyen terme</w:t>
            </w:r>
          </w:p>
        </w:tc>
        <w:tc>
          <w:tcPr>
            <w:tcW w:type="dxa" w:w="3600"/>
            <w:tcBorders>
              <w:top w:val="single" w:color="E5E7EB" w:sz="1"/>
              <w:left w:val="single" w:color="E5E7EB" w:sz="1"/>
              <w:bottom w:val="single" w:color="E5E7EB" w:sz="1"/>
              <w:right w:val="single" w:color="E5E7EB" w:sz="1"/>
            </w:tcBorders>
            <w:shd w:fill="FEF9C3" w:val="clear"/>
            <w:tcMar>
              <w:top w:type="dxa" w:w="90"/>
              <w:left w:type="dxa" w:w="120"/>
              <w:bottom w:type="dxa" w:w="90"/>
              <w:right w:type="dxa" w:w="120"/>
            </w:tcMar>
          </w:tcPr>
          <w:p>
            <w:r>
              <w:rPr>
                <w:rFonts w:ascii="Arial" w:cs="Arial" w:eastAsia="Arial" w:hAnsi="Arial"/>
                <w:color w:val="1A1A2E"/>
                <w:sz w:val="17"/>
                <w:szCs w:val="17"/>
              </w:rPr>
              <w:t xml:space="preserve">AIPD complete soumise au DPO</w:t>
            </w:r>
          </w:p>
        </w:tc>
        <w:tc>
          <w:tcPr>
            <w:tcW w:type="dxa" w:w="3106"/>
            <w:tcBorders>
              <w:top w:val="single" w:color="E5E7EB" w:sz="1"/>
              <w:left w:val="single" w:color="E5E7EB" w:sz="1"/>
              <w:bottom w:val="single" w:color="E5E7EB" w:sz="1"/>
              <w:right w:val="single" w:color="E5E7EB" w:sz="1"/>
            </w:tcBorders>
            <w:shd w:fill="FEF9C3" w:val="clear"/>
            <w:tcMar>
              <w:top w:type="dxa" w:w="90"/>
              <w:left w:type="dxa" w:w="120"/>
              <w:bottom w:type="dxa" w:w="90"/>
              <w:right w:type="dxa" w:w="120"/>
            </w:tcMar>
          </w:tcPr>
          <w:p>
            <w:r>
              <w:rPr>
                <w:rFonts w:ascii="Arial" w:cs="Arial" w:eastAsia="Arial" w:hAnsi="Arial"/>
                <w:color w:val="1A1A2E"/>
                <w:sz w:val="17"/>
                <w:szCs w:val="17"/>
              </w:rPr>
              <w:t xml:space="preserve">Avant tout traitement en production sur la base complete</w:t>
            </w:r>
          </w:p>
        </w:tc>
      </w:tr>
      <w:tr>
        <w:tc>
          <w:tcPr>
            <w:tcW w:type="dxa" w:w="3200"/>
            <w:tcBorders>
              <w:top w:val="single" w:color="E5E7EB" w:sz="1"/>
              <w:left w:val="single" w:color="E5E7EB" w:sz="1"/>
              <w:bottom w:val="single" w:color="E5E7EB" w:sz="1"/>
              <w:right w:val="single" w:color="E5E7EB" w:sz="1"/>
            </w:tcBorders>
            <w:shd w:fill="FEF9C3" w:val="clear"/>
            <w:tcMar>
              <w:top w:type="dxa" w:w="90"/>
              <w:left w:type="dxa" w:w="120"/>
              <w:bottom w:type="dxa" w:w="90"/>
              <w:right w:type="dxa" w:w="120"/>
            </w:tcMar>
          </w:tcPr>
          <w:p>
            <w:r>
              <w:rPr>
                <w:rFonts w:ascii="Arial" w:cs="Arial" w:eastAsia="Arial" w:hAnsi="Arial"/>
                <w:color w:val="1A1A2E"/>
                <w:sz w:val="17"/>
                <w:szCs w:val="17"/>
              </w:rPr>
              <w:t xml:space="preserve">Moyen terme</w:t>
            </w:r>
          </w:p>
        </w:tc>
        <w:tc>
          <w:tcPr>
            <w:tcW w:type="dxa" w:w="3600"/>
            <w:tcBorders>
              <w:top w:val="single" w:color="E5E7EB" w:sz="1"/>
              <w:left w:val="single" w:color="E5E7EB" w:sz="1"/>
              <w:bottom w:val="single" w:color="E5E7EB" w:sz="1"/>
              <w:right w:val="single" w:color="E5E7EB" w:sz="1"/>
            </w:tcBorders>
            <w:shd w:fill="FEF9C3" w:val="clear"/>
            <w:tcMar>
              <w:top w:type="dxa" w:w="90"/>
              <w:left w:type="dxa" w:w="120"/>
              <w:bottom w:type="dxa" w:w="90"/>
              <w:right w:type="dxa" w:w="120"/>
            </w:tcMar>
          </w:tcPr>
          <w:p>
            <w:r>
              <w:rPr>
                <w:rFonts w:ascii="Arial" w:cs="Arial" w:eastAsia="Arial" w:hAnsi="Arial"/>
                <w:color w:val="1A1A2E"/>
                <w:sz w:val="17"/>
                <w:szCs w:val="17"/>
              </w:rPr>
              <w:t xml:space="preserve">Information des inscrits (mention specifique scoring)</w:t>
            </w:r>
          </w:p>
        </w:tc>
        <w:tc>
          <w:tcPr>
            <w:tcW w:type="dxa" w:w="3106"/>
            <w:tcBorders>
              <w:top w:val="single" w:color="E5E7EB" w:sz="1"/>
              <w:left w:val="single" w:color="E5E7EB" w:sz="1"/>
              <w:bottom w:val="single" w:color="E5E7EB" w:sz="1"/>
              <w:right w:val="single" w:color="E5E7EB" w:sz="1"/>
            </w:tcBorders>
            <w:shd w:fill="FEF9C3" w:val="clear"/>
            <w:tcMar>
              <w:top w:type="dxa" w:w="90"/>
              <w:left w:type="dxa" w:w="120"/>
              <w:bottom w:type="dxa" w:w="90"/>
              <w:right w:type="dxa" w:w="120"/>
            </w:tcMar>
          </w:tcPr>
          <w:p>
            <w:r>
              <w:rPr>
                <w:rFonts w:ascii="Arial" w:cs="Arial" w:eastAsia="Arial" w:hAnsi="Arial"/>
                <w:color w:val="1A1A2E"/>
                <w:sz w:val="17"/>
                <w:szCs w:val="17"/>
              </w:rPr>
              <w:t xml:space="preserve">Mise a jour de la politique de confidentialite letudiant.fr</w:t>
            </w:r>
          </w:p>
        </w:tc>
      </w:tr>
      <w:tr>
        <w:tc>
          <w:tcPr>
            <w:tcW w:type="dxa" w:w="3200"/>
            <w:tcBorders>
              <w:top w:val="single" w:color="E5E7EB" w:sz="1"/>
              <w:left w:val="single" w:color="E5E7EB" w:sz="1"/>
              <w:bottom w:val="single" w:color="E5E7EB" w:sz="1"/>
              <w:right w:val="single" w:color="E5E7EB" w:sz="1"/>
            </w:tcBorders>
            <w:shd w:fill="FEF9C3" w:val="clear"/>
            <w:tcMar>
              <w:top w:type="dxa" w:w="90"/>
              <w:left w:type="dxa" w:w="120"/>
              <w:bottom w:type="dxa" w:w="90"/>
              <w:right w:type="dxa" w:w="120"/>
            </w:tcMar>
          </w:tcPr>
          <w:p>
            <w:r>
              <w:rPr>
                <w:rFonts w:ascii="Arial" w:cs="Arial" w:eastAsia="Arial" w:hAnsi="Arial"/>
                <w:color w:val="1A1A2E"/>
                <w:sz w:val="17"/>
                <w:szCs w:val="17"/>
              </w:rPr>
              <w:t xml:space="preserve">Moyen terme</w:t>
            </w:r>
          </w:p>
        </w:tc>
        <w:tc>
          <w:tcPr>
            <w:tcW w:type="dxa" w:w="3600"/>
            <w:tcBorders>
              <w:top w:val="single" w:color="E5E7EB" w:sz="1"/>
              <w:left w:val="single" w:color="E5E7EB" w:sz="1"/>
              <w:bottom w:val="single" w:color="E5E7EB" w:sz="1"/>
              <w:right w:val="single" w:color="E5E7EB" w:sz="1"/>
            </w:tcBorders>
            <w:shd w:fill="FEF9C3" w:val="clear"/>
            <w:tcMar>
              <w:top w:type="dxa" w:w="90"/>
              <w:left w:type="dxa" w:w="120"/>
              <w:bottom w:type="dxa" w:w="90"/>
              <w:right w:type="dxa" w:w="120"/>
            </w:tcMar>
          </w:tcPr>
          <w:p>
            <w:r>
              <w:rPr>
                <w:rFonts w:ascii="Arial" w:cs="Arial" w:eastAsia="Arial" w:hAnsi="Arial"/>
                <w:color w:val="1A1A2E"/>
                <w:sz w:val="17"/>
                <w:szCs w:val="17"/>
              </w:rPr>
              <w:t xml:space="preserve">Mecanisme de retrait consentement granulaire</w:t>
            </w:r>
          </w:p>
        </w:tc>
        <w:tc>
          <w:tcPr>
            <w:tcW w:type="dxa" w:w="3106"/>
            <w:tcBorders>
              <w:top w:val="single" w:color="E5E7EB" w:sz="1"/>
              <w:left w:val="single" w:color="E5E7EB" w:sz="1"/>
              <w:bottom w:val="single" w:color="E5E7EB" w:sz="1"/>
              <w:right w:val="single" w:color="E5E7EB" w:sz="1"/>
            </w:tcBorders>
            <w:shd w:fill="FEF9C3" w:val="clear"/>
            <w:tcMar>
              <w:top w:type="dxa" w:w="90"/>
              <w:left w:type="dxa" w:w="120"/>
              <w:bottom w:type="dxa" w:w="90"/>
              <w:right w:type="dxa" w:w="120"/>
            </w:tcMar>
          </w:tcPr>
          <w:p>
            <w:r>
              <w:rPr>
                <w:rFonts w:ascii="Arial" w:cs="Arial" w:eastAsia="Arial" w:hAnsi="Arial"/>
                <w:color w:val="1A1A2E"/>
                <w:sz w:val="17"/>
                <w:szCs w:val="17"/>
              </w:rPr>
              <w:t xml:space="preserve">Interface espace personnel - retrait par categorie de produit</w:t>
            </w:r>
          </w:p>
        </w:tc>
      </w:tr>
    </w:tbl>
    <w:p>
      <w:pP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2563EB" w:sz="6"/>
              <w:left w:val="none" w:color="FFFFFF" w:sz="0"/>
              <w:bottom w:val="single" w:color="E5E7EB" w:sz="1"/>
              <w:right w:val="none" w:color="FFFFFF" w:sz="0"/>
            </w:tcBorders>
            <w:shd w:fill="EFF6FF" w:val="clear"/>
            <w:tcMar>
              <w:top w:type="dxa" w:w="140"/>
              <w:left w:type="dxa" w:w="200"/>
              <w:bottom w:type="dxa" w:w="140"/>
              <w:right w:type="dxa" w:w="200"/>
            </w:tcMar>
          </w:tcPr>
          <w:p>
            <w:r>
              <w:rPr>
                <w:rFonts w:ascii="Arial" w:cs="Arial" w:eastAsia="Arial" w:hAnsi="Arial"/>
                <w:color w:val="1A1A2E"/>
                <w:sz w:val="18"/>
                <w:szCs w:val="18"/>
              </w:rPr>
              <w:t xml:space="preserve">Cette note est un document de travail preparatoire. Elle ne constitue pas un avis juridique. La mise en production du pipeline et des produits de donnees decrits ici necessite validation par le DPO de L'Etudiant et, le cas echeant, une consultation de la CNIL (art. 36 RGPD). Alberthon - Hackathon L'Etudiant - 28 avril 2026.</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2026-04-28T09:21:07.696Z</dcterms:created>
  <dcterms:modified xsi:type="dcterms:W3CDTF">2026-04-28T09:21:07.696Z</dcterms:modified>
</cp:coreProperties>
</file>

<file path=docProps/custom.xml><?xml version="1.0" encoding="utf-8"?>
<Properties xmlns="http://schemas.openxmlformats.org/officeDocument/2006/custom-properties" xmlns:vt="http://schemas.openxmlformats.org/officeDocument/2006/docPropsVTypes"/>
</file>